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62D4" w14:textId="6A624B38" w:rsidR="00983832" w:rsidRDefault="00983832" w:rsidP="00983832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r>
        <w:rPr>
          <w:rFonts w:cs="ITCFranklinGothicStd-Med"/>
          <w:b/>
        </w:rPr>
        <w:t>Section 12 24 13</w:t>
      </w:r>
    </w:p>
    <w:p w14:paraId="65E96417" w14:textId="716E84D2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14:paraId="45B1AE1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C715FD5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="000E4B5D" w:rsidRPr="00F768D3">
        <w:rPr>
          <w:rFonts w:cs="ITCFranklinGothicStd-Med"/>
          <w:b/>
        </w:rPr>
        <w:t xml:space="preserve"> Provisions</w:t>
      </w:r>
    </w:p>
    <w:p w14:paraId="34764B4B" w14:textId="77777777" w:rsidR="00AA7F81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="00010851" w:rsidRPr="00F768D3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="00010851" w:rsidRPr="00F768D3">
        <w:rPr>
          <w:rFonts w:cs="ITCFranklinGothicStd-Book"/>
        </w:rPr>
        <w:t>, including General and</w:t>
      </w:r>
    </w:p>
    <w:p w14:paraId="393338B7" w14:textId="77777777" w:rsidR="00EA17FC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01085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="00010851" w:rsidRPr="00F768D3">
        <w:rPr>
          <w:rFonts w:cs="ITCFranklinGothicStd-Book"/>
        </w:rPr>
        <w:t>Conditions</w:t>
      </w:r>
      <w:r w:rsidR="00EA17FC" w:rsidRPr="00F768D3">
        <w:rPr>
          <w:rFonts w:cs="ITCFranklinGothicStd-Book"/>
        </w:rPr>
        <w:t xml:space="preserve"> and Division 1 </w:t>
      </w:r>
      <w:r w:rsidR="00010851" w:rsidRPr="00F768D3">
        <w:rPr>
          <w:rFonts w:cs="ITCFranklinGothicStd-Book"/>
        </w:rPr>
        <w:t>Specification Sections, apply to this Section</w:t>
      </w:r>
      <w:r w:rsidR="00EA17FC" w:rsidRPr="00F768D3">
        <w:rPr>
          <w:rFonts w:cs="ITCFranklinGothicStd-Book"/>
        </w:rPr>
        <w:t>.</w:t>
      </w:r>
    </w:p>
    <w:p w14:paraId="7D138E5B" w14:textId="77777777" w:rsidR="00F70402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 </w:t>
      </w:r>
      <w:r w:rsidR="00010851" w:rsidRPr="00F768D3">
        <w:rPr>
          <w:rFonts w:cs="ITCFranklinGothicStd-Book"/>
        </w:rPr>
        <w:t>B. Carefully review and examine all other</w:t>
      </w:r>
      <w:r w:rsidR="00F70402" w:rsidRPr="00F768D3">
        <w:rPr>
          <w:rFonts w:cs="ITCFranklinGothicStd-Book"/>
        </w:rPr>
        <w:t xml:space="preserve"> Contract Documents for requirements therein </w:t>
      </w:r>
    </w:p>
    <w:p w14:paraId="72493D01" w14:textId="77777777" w:rsidR="00AA7F81" w:rsidRPr="00F768D3" w:rsidRDefault="00F70402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="00AA7F81" w:rsidRPr="00F768D3">
        <w:rPr>
          <w:rFonts w:cs="ITCFranklinGothicStd-Book"/>
        </w:rPr>
        <w:t xml:space="preserve"> </w:t>
      </w:r>
    </w:p>
    <w:p w14:paraId="7EB64A9E" w14:textId="77777777" w:rsidR="0065776D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="00F70402" w:rsidRPr="00F768D3">
        <w:rPr>
          <w:rFonts w:cs="ITCFranklinGothicStd-Book"/>
        </w:rPr>
        <w:t>Section with all other trades affected</w:t>
      </w:r>
      <w:r w:rsidR="00EA17FC" w:rsidRPr="00F768D3">
        <w:rPr>
          <w:rFonts w:cs="ITCFranklinGothicStd-Book"/>
        </w:rPr>
        <w:t>.</w:t>
      </w:r>
    </w:p>
    <w:p w14:paraId="325987F6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FC1A5E2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="00A63B18" w:rsidRPr="00F768D3">
        <w:rPr>
          <w:rFonts w:cs="ITCFranklinGothicStd-Med"/>
          <w:b/>
        </w:rPr>
        <w:t>Summary</w:t>
      </w:r>
    </w:p>
    <w:p w14:paraId="3305ADD0" w14:textId="77777777" w:rsidR="00996CF9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="00AF4A7C" w:rsidRPr="00F768D3">
        <w:rPr>
          <w:rFonts w:cs="ITCFranklinGothicStd-Book"/>
        </w:rPr>
        <w:t>urnish and install</w:t>
      </w:r>
      <w:r w:rsidR="00996CF9" w:rsidRPr="00F768D3">
        <w:rPr>
          <w:rFonts w:cs="ITCFranklinGothicStd-Book"/>
        </w:rPr>
        <w:t>:</w:t>
      </w:r>
    </w:p>
    <w:p w14:paraId="7BE9CED0" w14:textId="77777777" w:rsidR="00EA17FC" w:rsidRPr="00F768D3" w:rsidRDefault="00996CF9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="00EA17FC" w:rsidRPr="00F768D3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="00EA17FC" w:rsidRPr="00F768D3">
        <w:rPr>
          <w:rFonts w:cs="ITCFranklinGothicStd-Book"/>
        </w:rPr>
        <w:t>s.</w:t>
      </w:r>
    </w:p>
    <w:p w14:paraId="53B001F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996CF9" w:rsidRPr="00F768D3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="00AA7F81" w:rsidRPr="00F768D3">
        <w:rPr>
          <w:rFonts w:cs="ITCFranklinGothicStd-Book"/>
        </w:rPr>
        <w:t xml:space="preserve">   </w:t>
      </w:r>
      <w:r w:rsidR="00996CF9" w:rsidRPr="00F768D3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14:paraId="22492DA4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6E48A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="006E48A8" w:rsidRPr="00F768D3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="004F1911" w:rsidRPr="00F768D3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="006E48A8" w:rsidRPr="00F768D3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="006E48A8" w:rsidRPr="00F768D3">
        <w:rPr>
          <w:rFonts w:cs="ITCFranklinGothicStd-Book"/>
        </w:rPr>
        <w:t>ated</w:t>
      </w:r>
      <w:r w:rsidR="004F191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14:paraId="6C68A12D" w14:textId="77777777" w:rsidR="006E48A8" w:rsidRPr="00F768D3" w:rsidRDefault="006E48A8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4FC28D2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8B6C24D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14:paraId="7648DEC8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="00AA7F81" w:rsidRPr="00F768D3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14:paraId="6497A48D" w14:textId="77777777" w:rsidR="00AA7F81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="00AA7F81" w:rsidRPr="00F768D3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14:paraId="2890A5D7" w14:textId="77777777" w:rsidR="006E48A8" w:rsidRPr="00F768D3" w:rsidRDefault="00AA7F81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="006E48A8" w:rsidRPr="00F768D3">
        <w:rPr>
          <w:rFonts w:cs="ITCFranklinGothicStd-Med"/>
        </w:rPr>
        <w:t>are not limited to:</w:t>
      </w:r>
    </w:p>
    <w:p w14:paraId="5037032B" w14:textId="77777777" w:rsidR="006E48A8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="009C4697" w:rsidRPr="00F768D3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14:paraId="69816F32" w14:textId="77777777" w:rsidR="00527865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="009C4697" w:rsidRPr="00F768D3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14:paraId="2593C48E" w14:textId="77777777" w:rsidR="00527865" w:rsidRPr="00F768D3" w:rsidRDefault="009C469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="00F21008" w:rsidRPr="00F768D3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="00AA7F81" w:rsidRPr="00F768D3">
        <w:rPr>
          <w:rFonts w:cs="ITCFranklinGothicStd-Book"/>
        </w:rPr>
        <w:t>.</w:t>
      </w:r>
    </w:p>
    <w:p w14:paraId="30E84AF0" w14:textId="77777777" w:rsidR="00527865" w:rsidRPr="00F768D3" w:rsidRDefault="009D7DF4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F2100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="00F21008" w:rsidRPr="00F768D3">
        <w:rPr>
          <w:rFonts w:cs="ITCFranklinGothicStd-Book"/>
        </w:rPr>
        <w:t>4</w:t>
      </w:r>
      <w:r w:rsidR="00527865" w:rsidRPr="00F768D3">
        <w:rPr>
          <w:rFonts w:cs="ITCFranklinGothicStd-Book"/>
        </w:rPr>
        <w:t xml:space="preserve">. </w:t>
      </w:r>
      <w:r w:rsidR="00F21008" w:rsidRPr="00F768D3">
        <w:rPr>
          <w:rFonts w:cs="ITCFranklinGothicStd-Book"/>
        </w:rPr>
        <w:t>Division 9 Sections Gypsum Board &amp; A</w:t>
      </w:r>
      <w:r w:rsidR="00AA7F81" w:rsidRPr="00F768D3">
        <w:rPr>
          <w:rFonts w:cs="ITCFranklinGothicStd-Book"/>
        </w:rPr>
        <w:t>coustical Ceilings</w:t>
      </w:r>
    </w:p>
    <w:p w14:paraId="5A8F9A60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222FC3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14:paraId="52FA859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14:paraId="6FE33AB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666 Standard Specification for Annealed or Cold-Worked Austenitic </w:t>
      </w:r>
      <w:proofErr w:type="gramStart"/>
      <w:r w:rsidRPr="00F768D3">
        <w:rPr>
          <w:rFonts w:asciiTheme="minorHAnsi" w:hAnsiTheme="minorHAnsi"/>
          <w:sz w:val="21"/>
          <w:szCs w:val="21"/>
        </w:rPr>
        <w:t>Stainless Steel</w:t>
      </w:r>
      <w:proofErr w:type="gramEnd"/>
      <w:r w:rsidRPr="00F768D3">
        <w:rPr>
          <w:rFonts w:asciiTheme="minorHAnsi" w:hAnsiTheme="minorHAnsi"/>
          <w:sz w:val="21"/>
          <w:szCs w:val="21"/>
        </w:rPr>
        <w:t xml:space="preserve"> Sheet, Strip, Plate, and Flat Bar.</w:t>
      </w:r>
    </w:p>
    <w:p w14:paraId="7B501794" w14:textId="48431C9F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="00F768D3" w:rsidRPr="00F768D3">
        <w:rPr>
          <w:rFonts w:asciiTheme="minorHAnsi" w:hAnsiTheme="minorHAnsi"/>
          <w:sz w:val="21"/>
          <w:szCs w:val="21"/>
        </w:rPr>
        <w:t>Hardened.</w:t>
      </w:r>
    </w:p>
    <w:p w14:paraId="4AA58346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1010 - Standard Specification for Higher-Strength Martensitic </w:t>
      </w:r>
      <w:proofErr w:type="gramStart"/>
      <w:r w:rsidRPr="00F768D3">
        <w:rPr>
          <w:rFonts w:asciiTheme="minorHAnsi" w:hAnsiTheme="minorHAnsi"/>
          <w:sz w:val="21"/>
          <w:szCs w:val="21"/>
        </w:rPr>
        <w:t>Stainless Steel</w:t>
      </w:r>
      <w:proofErr w:type="gramEnd"/>
      <w:r w:rsidRPr="00F768D3">
        <w:rPr>
          <w:rFonts w:asciiTheme="minorHAnsi" w:hAnsiTheme="minorHAnsi"/>
          <w:sz w:val="21"/>
          <w:szCs w:val="21"/>
        </w:rPr>
        <w:t xml:space="preserve"> Plate, Sheet and Strip.</w:t>
      </w:r>
    </w:p>
    <w:p w14:paraId="4AA9EDAB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14:paraId="740F9FC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14:paraId="167142ED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14:paraId="12214967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California Administrative Code Title 19</w:t>
      </w:r>
    </w:p>
    <w:p w14:paraId="2209BCF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14:paraId="6AA2898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14:paraId="7882ABF3" w14:textId="77777777" w:rsidR="00391E74" w:rsidRPr="00D807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D807D3">
        <w:rPr>
          <w:rFonts w:asciiTheme="minorHAnsi" w:hAnsiTheme="minorHAnsi"/>
          <w:sz w:val="21"/>
          <w:szCs w:val="21"/>
        </w:rPr>
        <w:t xml:space="preserve">ANSI/WCMA A100.1-2012 - American National Standard for Safety of Corded Window Covering Products. </w:t>
      </w:r>
    </w:p>
    <w:p w14:paraId="480B740D" w14:textId="35A75758" w:rsidR="00391E74" w:rsidRPr="00862C22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Cradle to Cradle </w:t>
      </w:r>
      <w:r w:rsidR="00087C77" w:rsidRPr="00862C22">
        <w:rPr>
          <w:rFonts w:asciiTheme="minorHAnsi" w:hAnsiTheme="minorHAnsi"/>
          <w:sz w:val="21"/>
          <w:szCs w:val="21"/>
        </w:rPr>
        <w:t>Eligible</w:t>
      </w:r>
      <w:r w:rsidRPr="00862C22">
        <w:rPr>
          <w:rFonts w:asciiTheme="minorHAnsi" w:hAnsiTheme="minorHAnsi"/>
          <w:sz w:val="21"/>
          <w:szCs w:val="21"/>
        </w:rPr>
        <w:t xml:space="preserve"> Shade Fabrics 3.1</w:t>
      </w:r>
    </w:p>
    <w:p w14:paraId="2E49411D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B53CA47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1.05    Submittals</w:t>
      </w:r>
    </w:p>
    <w:p w14:paraId="6883F057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Fabricator / Dealer to submit under provisions of Division 1 Section “Submittal  </w:t>
      </w:r>
    </w:p>
    <w:p w14:paraId="28A81EAF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Procedures”:</w:t>
      </w:r>
    </w:p>
    <w:p w14:paraId="54ADFAB0" w14:textId="77777777" w:rsidR="00C94A8F" w:rsidRPr="00F768D3" w:rsidRDefault="00C94A8F" w:rsidP="00C94A8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Product Data</w:t>
      </w:r>
    </w:p>
    <w:p w14:paraId="317706FB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Mounting details and installation methods</w:t>
      </w:r>
    </w:p>
    <w:p w14:paraId="3E53AB3E" w14:textId="77777777" w:rsidR="00C94A8F" w:rsidRPr="00F768D3" w:rsidRDefault="00657FB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3. Approval</w:t>
      </w:r>
      <w:r w:rsidR="00C94A8F" w:rsidRPr="00F768D3">
        <w:rPr>
          <w:rFonts w:cs="ITCFranklinGothicStd-Book"/>
        </w:rPr>
        <w:t xml:space="preserve"> drawings</w:t>
      </w:r>
    </w:p>
    <w:p w14:paraId="2ADD3E1E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4. Window Treatment Schedule </w:t>
      </w:r>
    </w:p>
    <w:p w14:paraId="04A4E184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5. Shade</w:t>
      </w:r>
      <w:r w:rsidR="00D8649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cloth selection samples</w:t>
      </w:r>
    </w:p>
    <w:p w14:paraId="446C258C" w14:textId="77777777" w:rsidR="008334C0" w:rsidRPr="00F768D3" w:rsidRDefault="008334C0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6. Maintenance data</w:t>
      </w:r>
    </w:p>
    <w:p w14:paraId="03E9463A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737D4CC" w14:textId="77777777" w:rsidR="00792347" w:rsidRPr="00F768D3" w:rsidRDefault="0079234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18F6C411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1.06    Quality Assurance</w:t>
      </w:r>
    </w:p>
    <w:p w14:paraId="4DCC87CF" w14:textId="77777777" w:rsidR="0081339E" w:rsidRPr="00F768D3" w:rsidRDefault="004963A3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C55EED" w:rsidRPr="00F768D3">
        <w:rPr>
          <w:rFonts w:cs="ITCFranklinGothicStd-Book"/>
        </w:rPr>
        <w:t xml:space="preserve">A.  </w:t>
      </w:r>
      <w:r w:rsidRPr="00F768D3">
        <w:rPr>
          <w:rFonts w:cs="ITCFranklinGothicStd-Book"/>
        </w:rPr>
        <w:t xml:space="preserve">Manufacturer Qualifications: </w:t>
      </w:r>
      <w:r w:rsidR="00C55EED" w:rsidRPr="00F768D3">
        <w:rPr>
          <w:rFonts w:cs="ITCFranklinGothicStd-Book"/>
        </w:rPr>
        <w:t>Obtain roller shades through one source from a single</w:t>
      </w:r>
    </w:p>
    <w:p w14:paraId="3A82DC8D" w14:textId="2FCABFCC" w:rsidR="0081339E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</w:t>
      </w:r>
      <w:r w:rsidR="00C55EE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 </w:t>
      </w:r>
      <w:r w:rsidR="005D6360"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>manufacturer with a minimum</w:t>
      </w:r>
      <w:r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 xml:space="preserve">of </w:t>
      </w:r>
      <w:r w:rsidR="004963A3" w:rsidRPr="00F768D3">
        <w:rPr>
          <w:rFonts w:cs="ITCFranklinGothicStd-Book"/>
        </w:rPr>
        <w:t xml:space="preserve">ten (10) </w:t>
      </w:r>
      <w:r w:rsidR="00004FBC" w:rsidRPr="00F768D3">
        <w:rPr>
          <w:rFonts w:cs="ITCFranklinGothicStd-Book"/>
        </w:rPr>
        <w:t>years’ experience</w:t>
      </w:r>
      <w:r w:rsidR="004963A3" w:rsidRPr="00F768D3">
        <w:rPr>
          <w:rFonts w:cs="ITCFranklinGothicStd-Book"/>
        </w:rPr>
        <w:t xml:space="preserve"> in manufacturing products</w:t>
      </w:r>
    </w:p>
    <w:p w14:paraId="4953EA95" w14:textId="77777777" w:rsidR="00C55EED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</w:t>
      </w:r>
      <w:r w:rsidR="004963A3" w:rsidRPr="00F768D3">
        <w:rPr>
          <w:rFonts w:cs="ITCFranklinGothicStd-Book"/>
        </w:rPr>
        <w:t>comparable to those specified in this Section.</w:t>
      </w:r>
    </w:p>
    <w:p w14:paraId="335B3C68" w14:textId="77777777" w:rsidR="004963A3" w:rsidRPr="00F768D3" w:rsidRDefault="0081339E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</w:t>
      </w:r>
      <w:r w:rsidR="004963A3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Installer</w:t>
      </w:r>
      <w:r w:rsidR="004963A3" w:rsidRPr="00F768D3">
        <w:rPr>
          <w:rFonts w:cs="ITCFranklinGothicStd-Book"/>
        </w:rPr>
        <w:t xml:space="preserve"> Qualifications: </w:t>
      </w:r>
      <w:r w:rsidRPr="00F768D3">
        <w:rPr>
          <w:rFonts w:cs="ITCFranklinGothicStd-Book"/>
        </w:rPr>
        <w:t xml:space="preserve">Installer certified by the </w:t>
      </w:r>
      <w:r w:rsidR="004963A3" w:rsidRPr="00F768D3">
        <w:rPr>
          <w:rFonts w:cs="ITCFranklinGothicStd-Book"/>
        </w:rPr>
        <w:t>manufacturer with a minimum</w:t>
      </w:r>
    </w:p>
    <w:p w14:paraId="4E29394C" w14:textId="26F6822D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of </w:t>
      </w:r>
      <w:r w:rsidR="0081339E" w:rsidRPr="00F768D3">
        <w:rPr>
          <w:rFonts w:cs="ITCFranklinGothicStd-Book"/>
        </w:rPr>
        <w:t>five</w:t>
      </w:r>
      <w:r w:rsidRPr="00F768D3">
        <w:rPr>
          <w:rFonts w:cs="ITCFranklinGothicStd-Book"/>
        </w:rPr>
        <w:t xml:space="preserve"> (</w:t>
      </w:r>
      <w:r w:rsidR="0081339E" w:rsidRPr="00F768D3">
        <w:rPr>
          <w:rFonts w:cs="ITCFranklinGothicStd-Book"/>
        </w:rPr>
        <w:t xml:space="preserve">5) </w:t>
      </w:r>
      <w:r w:rsidR="00004FBC" w:rsidRPr="00F768D3">
        <w:rPr>
          <w:rFonts w:cs="ITCFranklinGothicStd-Book"/>
        </w:rPr>
        <w:t>years’ experience</w:t>
      </w:r>
      <w:r w:rsidR="0081339E" w:rsidRPr="00F768D3">
        <w:rPr>
          <w:rFonts w:cs="ITCFranklinGothicStd-Book"/>
        </w:rPr>
        <w:t xml:space="preserve"> in install</w:t>
      </w:r>
      <w:r w:rsidRPr="00F768D3">
        <w:rPr>
          <w:rFonts w:cs="ITCFranklinGothicStd-Book"/>
        </w:rPr>
        <w:t xml:space="preserve">ing products comparable to those specified </w:t>
      </w:r>
    </w:p>
    <w:p w14:paraId="1E87F872" w14:textId="77777777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 this Section.</w:t>
      </w:r>
    </w:p>
    <w:p w14:paraId="6152ED1A" w14:textId="77777777" w:rsidR="00D74E53" w:rsidRPr="00F768D3" w:rsidRDefault="00D74E5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55EE76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Book"/>
          <w:b/>
        </w:rPr>
        <w:t xml:space="preserve">1.07 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Med"/>
          <w:b/>
        </w:rPr>
        <w:t>Delivery, Storage and Handling</w:t>
      </w:r>
    </w:p>
    <w:p w14:paraId="64E0E011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</w:t>
      </w:r>
      <w:r w:rsidR="005D6360" w:rsidRPr="00F768D3">
        <w:rPr>
          <w:rFonts w:cs="ITCFranklinGothicStd-Book"/>
        </w:rPr>
        <w:t xml:space="preserve">  </w:t>
      </w:r>
      <w:r w:rsidRPr="00F768D3">
        <w:rPr>
          <w:rFonts w:cs="ITCFranklinGothicStd-Book"/>
        </w:rPr>
        <w:t>A.  Product shall be delivered to site in manufacturer’s original packaging.</w:t>
      </w:r>
    </w:p>
    <w:p w14:paraId="2200D11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B.  Product shall be handled and stored to prevent damage to materials, finishes and </w:t>
      </w:r>
    </w:p>
    <w:p w14:paraId="1462C5FD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operating mechanisms.</w:t>
      </w:r>
    </w:p>
    <w:p w14:paraId="2C5231D6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84E97B0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</w:rPr>
        <w:t>1</w:t>
      </w:r>
      <w:r w:rsidRPr="00F768D3">
        <w:rPr>
          <w:rFonts w:cs="ITCFranklinGothicStd-Book"/>
          <w:b/>
        </w:rPr>
        <w:t xml:space="preserve">.08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Book"/>
          <w:b/>
        </w:rPr>
        <w:t xml:space="preserve"> Project Conditions</w:t>
      </w:r>
    </w:p>
    <w:p w14:paraId="2A1E1694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A.  Environmental Limitations:  Install roller shades after finish work, including painting, is</w:t>
      </w:r>
    </w:p>
    <w:p w14:paraId="5F54E4DC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complete and ambient temperature and humidity conditions are maintained at the</w:t>
      </w:r>
    </w:p>
    <w:p w14:paraId="56DCB57F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levels indicated for Project when occupied for its intended use.</w:t>
      </w:r>
    </w:p>
    <w:p w14:paraId="6C2BA05A" w14:textId="77777777" w:rsidR="004A6679" w:rsidRPr="00F768D3" w:rsidRDefault="004A667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0B38704" w14:textId="77777777" w:rsidR="004A667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1.09</w:t>
      </w:r>
      <w:r w:rsidR="004A6679" w:rsidRPr="00F768D3">
        <w:rPr>
          <w:rFonts w:cs="ITCFranklinGothicStd-Med"/>
          <w:b/>
          <w:color w:val="000000"/>
        </w:rPr>
        <w:t xml:space="preserve">  </w:t>
      </w:r>
      <w:r w:rsidR="005D6360" w:rsidRPr="00F768D3">
        <w:rPr>
          <w:rFonts w:cs="ITCFranklinGothicStd-Med"/>
          <w:b/>
          <w:color w:val="000000"/>
        </w:rPr>
        <w:t xml:space="preserve"> </w:t>
      </w:r>
      <w:r w:rsidR="004A6679" w:rsidRPr="00F768D3">
        <w:rPr>
          <w:rFonts w:cs="ITCFranklinGothicStd-Med"/>
          <w:b/>
          <w:color w:val="000000"/>
        </w:rPr>
        <w:t xml:space="preserve"> Warranty</w:t>
      </w:r>
    </w:p>
    <w:p w14:paraId="2B1DB285" w14:textId="5360CF08" w:rsidR="00BC7810" w:rsidRPr="00003C4F" w:rsidRDefault="004A6679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</w:t>
      </w:r>
      <w:r w:rsidR="005D6360" w:rsidRPr="00F768D3">
        <w:rPr>
          <w:rFonts w:cs="ITCFranklinGothicStd-Book"/>
          <w:color w:val="000000"/>
        </w:rPr>
        <w:t xml:space="preserve"> </w:t>
      </w:r>
      <w:r w:rsidRPr="00F768D3">
        <w:rPr>
          <w:rFonts w:cs="ITCFranklinGothicStd-Book"/>
          <w:color w:val="000000"/>
        </w:rPr>
        <w:t xml:space="preserve">A. </w:t>
      </w:r>
      <w:r w:rsidR="005D6360" w:rsidRPr="00F768D3">
        <w:rPr>
          <w:rFonts w:cs="ITCFranklinGothicStd-Book"/>
          <w:color w:val="000000"/>
        </w:rPr>
        <w:t xml:space="preserve"> </w:t>
      </w:r>
      <w:r w:rsidR="00597F08">
        <w:rPr>
          <w:rFonts w:cs="ITCFranklinGothicStd-Book"/>
          <w:color w:val="000000"/>
        </w:rPr>
        <w:t>5 year</w:t>
      </w:r>
      <w:r w:rsidR="00BC7810" w:rsidRPr="00003C4F">
        <w:rPr>
          <w:rFonts w:cs="ITCFranklinGothicStd-Book"/>
          <w:color w:val="000000"/>
        </w:rPr>
        <w:t xml:space="preserve"> Warranty on shade hardware. Fabrics warranted for 10 years minimum.</w:t>
      </w:r>
    </w:p>
    <w:p w14:paraId="2D565828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AC and DC wired motors and electronic accessories to be free from defects in materials and</w:t>
      </w:r>
    </w:p>
    <w:p w14:paraId="6480C714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workmanship for 7 years, and warrants battery powered DC motors to be free from defects</w:t>
      </w:r>
    </w:p>
    <w:p w14:paraId="3B622E38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in materials and workmanship for 5 years when installed properly and operated under</w:t>
      </w:r>
    </w:p>
    <w:p w14:paraId="40940006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normal use from the date stamped or affixed label on each device.</w:t>
      </w:r>
    </w:p>
    <w:p w14:paraId="08D1AC51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Specific product warranties available from manufacturer or its authorized fabricator /</w:t>
      </w:r>
    </w:p>
    <w:p w14:paraId="251673B4" w14:textId="669ED9A1" w:rsidR="0003604F" w:rsidRDefault="00BC7810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dealer.</w:t>
      </w:r>
    </w:p>
    <w:p w14:paraId="5F91E4AD" w14:textId="7AFE9849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142527C0" w14:textId="7072B4B5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7B8B7A4A" w14:textId="77777777" w:rsidR="0003604F" w:rsidRPr="00F768D3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72DA49F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3D115083" w14:textId="77777777" w:rsidR="004A6679" w:rsidRPr="00F768D3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lastRenderedPageBreak/>
        <w:t>PART II PRODUCTS</w:t>
      </w:r>
    </w:p>
    <w:p w14:paraId="5C4A88E1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14:paraId="32721108" w14:textId="77777777" w:rsidR="004A6679" w:rsidRPr="00F768D3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2.01   Manufacturer</w:t>
      </w:r>
    </w:p>
    <w:p w14:paraId="1DFF2CBF" w14:textId="77777777" w:rsidR="00D807D3" w:rsidRPr="00D807D3" w:rsidRDefault="0013394E" w:rsidP="00D807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</w:t>
      </w:r>
      <w:r w:rsidR="00B63B38" w:rsidRPr="00F768D3">
        <w:rPr>
          <w:rFonts w:cs="ITCFranklinGothicStd-Book"/>
          <w:color w:val="000000"/>
        </w:rPr>
        <w:t xml:space="preserve">A. </w:t>
      </w:r>
      <w:r w:rsidR="00D807D3" w:rsidRPr="00D807D3">
        <w:rPr>
          <w:rFonts w:ascii="Calibri" w:eastAsia="Calibri" w:hAnsi="Calibri" w:cs="ITCFranklinGothicStd-Book"/>
          <w:color w:val="000000"/>
        </w:rPr>
        <w:t xml:space="preserve">Subject to compliance with the requirements specified herein, the following </w:t>
      </w:r>
    </w:p>
    <w:p w14:paraId="616450F5" w14:textId="77777777" w:rsidR="00D807D3" w:rsidRPr="00D807D3" w:rsidRDefault="00D807D3" w:rsidP="00D807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D807D3">
        <w:rPr>
          <w:rFonts w:ascii="Calibri" w:eastAsia="Calibri" w:hAnsi="Calibri" w:cs="ITCFranklinGothicStd-Book"/>
          <w:color w:val="000000"/>
        </w:rPr>
        <w:t xml:space="preserve">               manufacturer offering component products is to be incorporated into the work:</w:t>
      </w:r>
    </w:p>
    <w:p w14:paraId="6082C256" w14:textId="77777777" w:rsidR="00D807D3" w:rsidRPr="00D807D3" w:rsidRDefault="00D807D3" w:rsidP="00D807D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D807D3">
        <w:rPr>
          <w:rFonts w:ascii="Calibri" w:eastAsia="Calibri" w:hAnsi="Calibri" w:cs="ITCFranklinGothicStd-Book"/>
          <w:color w:val="000000"/>
        </w:rPr>
        <w:t xml:space="preserve">Rollease </w:t>
      </w:r>
      <w:proofErr w:type="spellStart"/>
      <w:r w:rsidRPr="00D807D3">
        <w:rPr>
          <w:rFonts w:ascii="Calibri" w:eastAsia="Calibri" w:hAnsi="Calibri" w:cs="ITCFranklinGothicStd-Book"/>
          <w:color w:val="000000"/>
        </w:rPr>
        <w:t>Acmeda</w:t>
      </w:r>
      <w:proofErr w:type="spellEnd"/>
      <w:r w:rsidRPr="00D807D3">
        <w:rPr>
          <w:rFonts w:ascii="Calibri" w:eastAsia="Calibri" w:hAnsi="Calibri" w:cs="ITCFranklinGothicStd-Book"/>
          <w:color w:val="000000"/>
        </w:rPr>
        <w:t xml:space="preserve">, Stamford, CT., 800.552.5100 or 413-221-5949, </w:t>
      </w:r>
      <w:hyperlink r:id="rId11" w:history="1">
        <w:r w:rsidRPr="00D807D3">
          <w:rPr>
            <w:rFonts w:ascii="Calibri" w:eastAsia="Calibri" w:hAnsi="Calibri" w:cs="ITCFranklinGothicStd-Book"/>
            <w:color w:val="0000FF" w:themeColor="hyperlink"/>
            <w:u w:val="single"/>
          </w:rPr>
          <w:t>www.rolleaseacmedacontract.com</w:t>
        </w:r>
      </w:hyperlink>
      <w:r w:rsidRPr="00D807D3">
        <w:rPr>
          <w:rFonts w:ascii="Calibri" w:eastAsia="Calibri" w:hAnsi="Calibri" w:cs="ITCFranklinGothicStd-Book"/>
          <w:color w:val="000000"/>
        </w:rPr>
        <w:t xml:space="preserve"> </w:t>
      </w:r>
    </w:p>
    <w:p w14:paraId="13663656" w14:textId="77777777" w:rsidR="00D807D3" w:rsidRPr="00D807D3" w:rsidRDefault="00D807D3" w:rsidP="00D807D3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D807D3">
        <w:rPr>
          <w:rFonts w:ascii="Calibri" w:eastAsia="Calibri" w:hAnsi="Calibri" w:cs="ITCFranklinGothicStd-Book"/>
          <w:color w:val="000000"/>
        </w:rPr>
        <w:t>Kip Howard, Business Development Manager</w:t>
      </w:r>
    </w:p>
    <w:p w14:paraId="533F3398" w14:textId="76C9D372" w:rsidR="00D807D3" w:rsidRDefault="00D807D3" w:rsidP="00D807D3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D807D3">
        <w:rPr>
          <w:rFonts w:ascii="Calibri" w:eastAsia="Calibri" w:hAnsi="Calibri" w:cs="ITCFranklinGothicStd-Book"/>
          <w:color w:val="000000"/>
        </w:rPr>
        <w:t xml:space="preserve">Email: </w:t>
      </w:r>
      <w:hyperlink r:id="rId12" w:history="1">
        <w:r w:rsidRPr="00D807D3">
          <w:rPr>
            <w:rFonts w:ascii="Calibri" w:eastAsia="Calibri" w:hAnsi="Calibri" w:cs="ITCFranklinGothicStd-Book"/>
            <w:color w:val="0000FF" w:themeColor="hyperlink"/>
            <w:u w:val="single"/>
          </w:rPr>
          <w:t>kip.howard@RolleaseAcmeda.com</w:t>
        </w:r>
      </w:hyperlink>
      <w:r w:rsidRPr="00D807D3">
        <w:rPr>
          <w:rFonts w:ascii="Calibri" w:eastAsia="Calibri" w:hAnsi="Calibri" w:cs="ITCFranklinGothicStd-Book"/>
          <w:color w:val="000000"/>
        </w:rPr>
        <w:t xml:space="preserve"> </w:t>
      </w:r>
    </w:p>
    <w:p w14:paraId="37C1B7D2" w14:textId="068C502E" w:rsidR="00845DDB" w:rsidRPr="00845DDB" w:rsidRDefault="00845DDB" w:rsidP="00845DDB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>
        <w:rPr>
          <w:rFonts w:ascii="Calibri" w:eastAsia="Calibri" w:hAnsi="Calibri" w:cs="ITCFranklinGothicStd-Book"/>
          <w:color w:val="000000"/>
        </w:rPr>
        <w:t>Substitutions – No substitutions allowed.</w:t>
      </w:r>
    </w:p>
    <w:p w14:paraId="49FF980B" w14:textId="73C9C107" w:rsidR="004A6679" w:rsidRPr="00F768D3" w:rsidRDefault="004A6679" w:rsidP="00D807D3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6D78BFA0" w14:textId="77777777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C5C50F7" w14:textId="05E047BF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F768D3">
        <w:rPr>
          <w:rFonts w:cs="ITCFranklinGothicStd-Book"/>
          <w:b/>
          <w:color w:val="000000"/>
        </w:rPr>
        <w:t xml:space="preserve">2.02   </w:t>
      </w:r>
      <w:proofErr w:type="spellStart"/>
      <w:r w:rsidR="009A7FEE">
        <w:rPr>
          <w:rFonts w:cs="ITCFranklinGothicStd-Book"/>
          <w:b/>
          <w:color w:val="000000"/>
        </w:rPr>
        <w:t>Zipscreen</w:t>
      </w:r>
      <w:proofErr w:type="spellEnd"/>
      <w:r w:rsidR="009A7FEE">
        <w:rPr>
          <w:rFonts w:cs="ITCFranklinGothicStd-Book"/>
          <w:b/>
          <w:color w:val="000000"/>
        </w:rPr>
        <w:t xml:space="preserve"> </w:t>
      </w:r>
      <w:r w:rsidR="00F7486C">
        <w:rPr>
          <w:rFonts w:cs="ITCFranklinGothicStd-Book"/>
          <w:b/>
          <w:color w:val="000000"/>
        </w:rPr>
        <w:t xml:space="preserve">Extreme </w:t>
      </w:r>
      <w:r w:rsidR="009A7FEE">
        <w:rPr>
          <w:rFonts w:cs="ITCFranklinGothicStd-Book"/>
          <w:b/>
          <w:color w:val="000000"/>
        </w:rPr>
        <w:t>Motorized</w:t>
      </w:r>
      <w:r w:rsidR="007431F4" w:rsidRPr="002051E3">
        <w:rPr>
          <w:rFonts w:cs="ITCFranklinGothicStd-Book"/>
          <w:b/>
          <w:color w:val="000000"/>
        </w:rPr>
        <w:t xml:space="preserve"> </w:t>
      </w:r>
      <w:r w:rsidRPr="002051E3">
        <w:rPr>
          <w:rFonts w:cs="ITCFranklinGothicStd-Book"/>
          <w:b/>
          <w:color w:val="000000"/>
        </w:rPr>
        <w:t>Roller Shade Components</w:t>
      </w:r>
    </w:p>
    <w:p w14:paraId="24C2E3D3" w14:textId="77777777" w:rsidR="00BC7810" w:rsidRPr="004D16C6" w:rsidRDefault="004E4E5C" w:rsidP="00BC7810">
      <w:pPr>
        <w:pStyle w:val="Heading21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7810">
        <w:rPr>
          <w:rFonts w:cs="ITCFranklinGothicStd-Boo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Control System: </w:t>
      </w:r>
      <w:r w:rsidR="00BC7810" w:rsidRPr="004D16C6">
        <w:rPr>
          <w:rFonts w:asciiTheme="minorHAnsi" w:hAnsiTheme="minorHAnsi" w:cstheme="minorHAnsi"/>
          <w:color w:val="auto"/>
          <w:sz w:val="22"/>
          <w:szCs w:val="22"/>
        </w:rPr>
        <w:t>AUTOMATE™ MOTOR SYSTEM</w:t>
      </w:r>
      <w:r w:rsidR="00BC7810" w:rsidRPr="004D16C6">
        <w:rPr>
          <w:rFonts w:asciiTheme="minorHAnsi" w:hAnsiTheme="minorHAnsi" w:cstheme="minorHAnsi"/>
          <w:color w:val="00ACBD"/>
          <w:sz w:val="22"/>
          <w:szCs w:val="22"/>
        </w:rPr>
        <w:br/>
      </w:r>
      <w:r w:rsidR="00BC7810" w:rsidRPr="004D16C6">
        <w:rPr>
          <w:rFonts w:ascii="Calibri" w:eastAsia="Calibri" w:hAnsi="Calibri"/>
          <w:color w:val="auto"/>
          <w:sz w:val="22"/>
          <w:szCs w:val="22"/>
        </w:rPr>
        <w:t>Shade Motor and Control System – All line and low voltage wiring rough in and termination by others.</w:t>
      </w:r>
    </w:p>
    <w:p w14:paraId="63AADCD5" w14:textId="77777777" w:rsidR="00BC7810" w:rsidRPr="00767897" w:rsidRDefault="00BC7810" w:rsidP="00BC7810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Times New Roman"/>
        </w:rPr>
      </w:pPr>
      <w:r w:rsidRPr="004D16C6">
        <w:rPr>
          <w:rFonts w:ascii="Calibri" w:eastAsia="Calibri" w:hAnsi="Calibri" w:cs="Times New Roman"/>
        </w:rPr>
        <w:t>** NO</w:t>
      </w:r>
      <w:r w:rsidRPr="00767897">
        <w:rPr>
          <w:rFonts w:ascii="Calibri" w:eastAsia="Calibri" w:hAnsi="Calibri" w:cs="Times New Roman"/>
        </w:rPr>
        <w:t xml:space="preserve">TE TO SPECIFIER ** Select one of the following motor options </w:t>
      </w:r>
      <w:r w:rsidRPr="00767897">
        <w:rPr>
          <w:rFonts w:ascii="Calibri" w:eastAsia="Calibri" w:hAnsi="Calibri" w:cs="Times New Roman"/>
          <w:b/>
        </w:rPr>
        <w:t>(paragraphs a through h below)</w:t>
      </w:r>
      <w:r w:rsidRPr="00767897">
        <w:rPr>
          <w:rFonts w:ascii="Calibri" w:eastAsia="Calibri" w:hAnsi="Calibri" w:cs="Times New Roman"/>
        </w:rPr>
        <w:t>, and delete the ones not required. General descriptions of each Motor and Control system are included with each option below. Contact Rollease Acmeda for more information concerning motor applications.</w:t>
      </w:r>
    </w:p>
    <w:p w14:paraId="2CE6C6A6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0" w:name="_Hlk488914486"/>
      <w:r w:rsidRPr="00767897">
        <w:rPr>
          <w:rFonts w:ascii="Calibri" w:eastAsia="Calibri" w:hAnsi="Calibri" w:cs="Times New Roman"/>
          <w:b/>
        </w:rPr>
        <w:t>R</w:t>
      </w:r>
      <w:bookmarkEnd w:id="0"/>
      <w:r w:rsidRPr="00767897">
        <w:rPr>
          <w:rFonts w:ascii="Calibri" w:eastAsia="Calibri" w:hAnsi="Calibri" w:cs="Times New Roman"/>
          <w:b/>
        </w:rPr>
        <w:t>adio Technology, 12V DC QUIET motor with built-in re-chargeable lithium ion battery and radio transceiver. ** Note to Specifier** Suitable for shades up to 14’x14’</w:t>
      </w:r>
      <w:r w:rsidRPr="00767897">
        <w:rPr>
          <w:rFonts w:ascii="Calibri" w:eastAsia="Calibri" w:hAnsi="Calibri" w:cs="Times New Roman"/>
          <w:b/>
        </w:rPr>
        <w:br/>
      </w:r>
    </w:p>
    <w:p w14:paraId="2C5F9E0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6B3E5692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voltage, Low Voltage or communication wiring to motor location required.</w:t>
      </w:r>
    </w:p>
    <w:p w14:paraId="518C0BAF" w14:textId="27EDBC9C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44dB</w:t>
      </w:r>
      <w:r w:rsidR="00366647">
        <w:rPr>
          <w:rFonts w:ascii="Calibri" w:eastAsia="Calibri" w:hAnsi="Calibri" w:cs="Times New Roman"/>
        </w:rPr>
        <w:t xml:space="preserve">  </w:t>
      </w:r>
    </w:p>
    <w:p w14:paraId="66698250" w14:textId="5AB75029" w:rsidR="00366647" w:rsidRPr="00767897" w:rsidRDefault="00366647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04A9211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Plug in charger fully charges motor in 6 hours.</w:t>
      </w:r>
    </w:p>
    <w:p w14:paraId="6767A4D4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operates &gt;300 cycles on fully charged battery</w:t>
      </w:r>
    </w:p>
    <w:p w14:paraId="0E2B56AC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Charger may be permanently installed, allowing battery to serve as an emergency backup feature in a power outage.</w:t>
      </w:r>
    </w:p>
    <w:p w14:paraId="2FA8CF6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7A29E18F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33BF12CD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Charging Options – </w:t>
      </w:r>
    </w:p>
    <w:p w14:paraId="44411305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Charger</w:t>
      </w:r>
    </w:p>
    <w:p w14:paraId="0F838AC6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motor-OR-</w:t>
      </w:r>
    </w:p>
    <w:p w14:paraId="446F8D3F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for every 10 motors-OR-</w:t>
      </w:r>
    </w:p>
    <w:p w14:paraId="068A7006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tenant space-OR-</w:t>
      </w:r>
    </w:p>
    <w:p w14:paraId="07F84A42" w14:textId="77777777" w:rsidR="00BC7810" w:rsidRPr="00767897" w:rsidRDefault="00BC7810" w:rsidP="00BC7810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room</w:t>
      </w:r>
    </w:p>
    <w:p w14:paraId="5B4582AB" w14:textId="77777777" w:rsidR="00BC7810" w:rsidRPr="00767897" w:rsidRDefault="00BC7810" w:rsidP="00BC7810">
      <w:pPr>
        <w:spacing w:after="160" w:line="259" w:lineRule="auto"/>
        <w:rPr>
          <w:rFonts w:ascii="Calibri" w:eastAsia="Calibri" w:hAnsi="Calibri" w:cs="Times New Roman"/>
        </w:rPr>
      </w:pPr>
    </w:p>
    <w:p w14:paraId="14B2B8E9" w14:textId="77777777" w:rsidR="00BC7810" w:rsidRPr="00767897" w:rsidRDefault="00BC7810" w:rsidP="00BC7810">
      <w:pPr>
        <w:pStyle w:val="ARCATSubPara"/>
        <w:rPr>
          <w:rFonts w:eastAsia="Calibri"/>
        </w:rPr>
      </w:pPr>
      <w:r w:rsidRPr="00767897">
        <w:rPr>
          <w:rFonts w:eastAsia="Calibri"/>
        </w:rPr>
        <w:t>Solar Panel Trickle charger. (see Rollease Acmeda Solar Panel Configurator to calculate panel requirements)</w:t>
      </w:r>
    </w:p>
    <w:p w14:paraId="276C6D81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1 per motor-OR-</w:t>
      </w:r>
    </w:p>
    <w:p w14:paraId="05B1C3CF" w14:textId="77777777" w:rsidR="00BC7810" w:rsidRPr="00767897" w:rsidRDefault="00BC7810" w:rsidP="00BC7810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motor (Y-Harness required)</w:t>
      </w:r>
      <w:r w:rsidRPr="00767897">
        <w:rPr>
          <w:rFonts w:ascii="Calibri" w:eastAsia="Calibri" w:hAnsi="Calibri" w:cs="Times New Roman"/>
        </w:rPr>
        <w:br/>
      </w:r>
    </w:p>
    <w:p w14:paraId="0FB19CCA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Control Options – </w:t>
      </w:r>
    </w:p>
    <w:p w14:paraId="40907754" w14:textId="77777777" w:rsidR="00AD10FE" w:rsidRPr="00767897" w:rsidRDefault="00BC7810" w:rsidP="00AD10FE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r w:rsidR="00AD10FE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013E9900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5980536A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2B0CEF1D" w14:textId="77777777" w:rsidR="00AD10FE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2A3DF62A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bookmarkStart w:id="1" w:name="_Hlk534724664"/>
      <w:r>
        <w:rPr>
          <w:rFonts w:ascii="Calibri" w:eastAsia="Calibri" w:hAnsi="Calibri" w:cs="Times New Roman"/>
        </w:rPr>
        <w:t>5 Channel Flush Mount wall switch – No need to cut into drywall – White.</w:t>
      </w:r>
    </w:p>
    <w:bookmarkEnd w:id="1"/>
    <w:p w14:paraId="26197FCD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3B48AD72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6E32BD50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2B958A2B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bookmarkStart w:id="2" w:name="_Hlk534724598"/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bookmarkEnd w:id="2"/>
    <w:p w14:paraId="22E260E0" w14:textId="77777777" w:rsidR="00AD10FE" w:rsidRPr="00767897" w:rsidRDefault="00AD10FE" w:rsidP="00AD10FE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61AB2F44" w14:textId="77777777" w:rsidR="00AD10FE" w:rsidRPr="00767897" w:rsidRDefault="00AD10FE" w:rsidP="00AD10FE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7F411EE3" w14:textId="77777777" w:rsidR="00AD10FE" w:rsidRPr="00767897" w:rsidRDefault="00AD10FE" w:rsidP="00AD10FE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004AECD8" w14:textId="77777777" w:rsidR="00AD10FE" w:rsidRPr="00767897" w:rsidRDefault="00AD10FE" w:rsidP="00AD10FE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4F79B566" w14:textId="497FA2AC" w:rsidR="00BC7810" w:rsidRPr="00767897" w:rsidRDefault="00BC7810" w:rsidP="00AD10FE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0B30D789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3" w:name="_Hlk488915669"/>
      <w:r w:rsidRPr="00767897">
        <w:rPr>
          <w:rFonts w:ascii="Calibri" w:eastAsia="Calibri" w:hAnsi="Calibri" w:cs="Times New Roman"/>
          <w:b/>
        </w:rPr>
        <w:t xml:space="preserve">Radio Technology, 12V DC QUIET motor with built-in radio transceiver. </w:t>
      </w:r>
    </w:p>
    <w:p w14:paraId="6BC94F33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24F04CB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31BBE59E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 or communication wiring to motor location required.</w:t>
      </w:r>
    </w:p>
    <w:p w14:paraId="1064AFC6" w14:textId="458B1E3E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43dB</w:t>
      </w:r>
    </w:p>
    <w:p w14:paraId="05141934" w14:textId="28C9E8BB" w:rsidR="00366647" w:rsidRPr="00767897" w:rsidRDefault="00366647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01B7FC73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0A5C802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9AC15E2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79D049CB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DC power supply</w:t>
      </w:r>
    </w:p>
    <w:p w14:paraId="46ABE55F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 per motor- </w:t>
      </w:r>
    </w:p>
    <w:p w14:paraId="4B8B500B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3A8A8A5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7125C9F5" w14:textId="77777777" w:rsidR="00AD10FE" w:rsidRPr="00767897" w:rsidRDefault="00BC7810" w:rsidP="00AD10FE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bookmarkStart w:id="4" w:name="_Hlk488916389"/>
      <w:r w:rsidR="00AD10FE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51C1A8B9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Single channel wireless wall switch for radio motor control -White.</w:t>
      </w:r>
    </w:p>
    <w:p w14:paraId="0D72B0A1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03EEC7CA" w14:textId="77777777" w:rsidR="00AD10FE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7A7345CE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3349DD3B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33B901C4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5B85942B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2E9218E7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35D2233F" w14:textId="77777777" w:rsidR="00AD10FE" w:rsidRPr="00767897" w:rsidRDefault="00AD10FE" w:rsidP="00AD10FE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599EECBF" w14:textId="77777777" w:rsidR="00AD10FE" w:rsidRPr="00767897" w:rsidRDefault="00AD10FE" w:rsidP="00AD10FE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40ED3274" w14:textId="77777777" w:rsidR="00AD10FE" w:rsidRPr="00767897" w:rsidRDefault="00AD10FE" w:rsidP="00AD10FE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66B56886" w14:textId="77777777" w:rsidR="00AD10FE" w:rsidRPr="00767897" w:rsidRDefault="00AD10FE" w:rsidP="00AD10FE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31CEF77E" w14:textId="47AA73B5" w:rsidR="00BC7810" w:rsidRPr="00767897" w:rsidRDefault="00BC7810" w:rsidP="00AD10FE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6BF96647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5" w:name="_Hlk488916711"/>
      <w:bookmarkEnd w:id="3"/>
      <w:bookmarkEnd w:id="4"/>
      <w:r w:rsidRPr="00767897">
        <w:rPr>
          <w:rFonts w:ascii="Calibri" w:eastAsia="Calibri" w:hAnsi="Calibri" w:cs="Times New Roman"/>
          <w:b/>
        </w:rPr>
        <w:t xml:space="preserve">Radio Technology, 110-120V AC QUIET motor with built-in radio transceiver. </w:t>
      </w:r>
    </w:p>
    <w:p w14:paraId="59D592E6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71716AF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2721E877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communication wiring to motor location required.</w:t>
      </w:r>
    </w:p>
    <w:p w14:paraId="5ADFE995" w14:textId="64F20501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42dB </w:t>
      </w:r>
    </w:p>
    <w:p w14:paraId="33B6E49C" w14:textId="78CB234E" w:rsidR="00366647" w:rsidRPr="00767897" w:rsidRDefault="00366647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5B10D67D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3FC0BA74" w14:textId="77777777" w:rsidR="00BC7810" w:rsidRPr="00767897" w:rsidRDefault="00BC7810" w:rsidP="00366647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5FBDD3F9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079DD83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2E33AD34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110-120 VAC line voltage, .85 amps or 1.0 amps (dependent on motor size)</w:t>
      </w:r>
    </w:p>
    <w:p w14:paraId="0F8869BA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285DE574" w14:textId="77777777" w:rsidR="00AD10FE" w:rsidRPr="00767897" w:rsidRDefault="00BC7810" w:rsidP="00AD10FE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bookmarkEnd w:id="5"/>
      <w:r w:rsidR="00AD10FE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353866B0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4FC835B8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4EC1AE22" w14:textId="77777777" w:rsidR="00AD10FE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77422378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3F57999F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1EAD3950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15-Channel wireless handheld LCD transmitter with concealed magnetic wall mounting clip and “Levelling Control” feature, allowing shade(s) to be operated to 10 aligned positions -White.</w:t>
      </w:r>
    </w:p>
    <w:p w14:paraId="767C6FA7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1ED43F59" w14:textId="77777777" w:rsidR="00AD10FE" w:rsidRPr="00767897" w:rsidRDefault="00AD10FE" w:rsidP="00AD10FE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4F8EFF8A" w14:textId="77777777" w:rsidR="00AD10FE" w:rsidRPr="00767897" w:rsidRDefault="00AD10FE" w:rsidP="00AD10FE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3BEE328A" w14:textId="77777777" w:rsidR="00AD10FE" w:rsidRPr="00767897" w:rsidRDefault="00AD10FE" w:rsidP="00AD10FE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3C15B711" w14:textId="77777777" w:rsidR="00AD10FE" w:rsidRPr="00767897" w:rsidRDefault="00AD10FE" w:rsidP="00AD10FE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281CE656" w14:textId="77777777" w:rsidR="00AD10FE" w:rsidRPr="00767897" w:rsidRDefault="00AD10FE" w:rsidP="00AD10FE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3B978D31" w14:textId="0D7E1025" w:rsidR="00BC7810" w:rsidRPr="00767897" w:rsidRDefault="00BC7810" w:rsidP="00AD10FE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4010683E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507BEB63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r w:rsidRPr="00767897">
        <w:rPr>
          <w:rFonts w:ascii="Calibri" w:eastAsia="Calibri" w:hAnsi="Calibri" w:cs="Times New Roman"/>
          <w:b/>
        </w:rPr>
        <w:t xml:space="preserve">Mechanical Limit, 110-120V AC QUIET motor. </w:t>
      </w:r>
    </w:p>
    <w:p w14:paraId="3D021F24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15716A51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3B086EC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Line voltage to motor location required.</w:t>
      </w:r>
    </w:p>
    <w:p w14:paraId="4D8EC1D3" w14:textId="24164F1D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44dB </w:t>
      </w:r>
    </w:p>
    <w:p w14:paraId="06E5D50B" w14:textId="5F2B60F3" w:rsidR="00366647" w:rsidRPr="00767897" w:rsidRDefault="00366647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78AEAD5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603BEB5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75BF7C08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1. 110-120 VAC line voltage,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 1.0 amps (dependent on motor size)</w:t>
      </w:r>
    </w:p>
    <w:p w14:paraId="4E06378A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5F8D940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5575BEA4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External switches and/or controls required.  Supplied by others.</w:t>
      </w:r>
    </w:p>
    <w:p w14:paraId="211F8673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Wiring guide</w:t>
      </w:r>
    </w:p>
    <w:p w14:paraId="5175C0B2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White - Neutral</w:t>
      </w:r>
    </w:p>
    <w:p w14:paraId="2D6E3B1E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Black – Direction 1</w:t>
      </w:r>
    </w:p>
    <w:p w14:paraId="78DEA831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Red – Direction 2</w:t>
      </w:r>
    </w:p>
    <w:p w14:paraId="4D1A753B" w14:textId="5E3FE6EC" w:rsidR="00F13779" w:rsidRPr="00366647" w:rsidRDefault="00BC7810" w:rsidP="00366647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color w:val="000000"/>
          <w:szCs w:val="20"/>
        </w:rPr>
      </w:pP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  <w:t xml:space="preserve">Green </w:t>
      </w:r>
      <w:r>
        <w:rPr>
          <w:rFonts w:ascii="Calibri" w:eastAsia="Calibri" w:hAnsi="Calibri" w:cs="Arial"/>
          <w:color w:val="000000"/>
          <w:szCs w:val="20"/>
        </w:rPr>
        <w:t>–</w:t>
      </w:r>
      <w:r w:rsidRPr="00A908D1">
        <w:rPr>
          <w:rFonts w:ascii="Calibri" w:eastAsia="Calibri" w:hAnsi="Calibri" w:cs="Arial"/>
          <w:color w:val="000000"/>
          <w:szCs w:val="20"/>
        </w:rPr>
        <w:t xml:space="preserve"> Ground</w:t>
      </w:r>
    </w:p>
    <w:p w14:paraId="14DF59C2" w14:textId="3B90A7E6" w:rsidR="00C7316A" w:rsidRDefault="00EA20B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1718D1" w:rsidRPr="009D21FE">
        <w:rPr>
          <w:rFonts w:cs="ITCFranklinGothicStd-Book"/>
        </w:rPr>
        <w:t xml:space="preserve">B. </w:t>
      </w:r>
      <w:r w:rsidR="002F5C2C"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>Enclosure</w:t>
      </w:r>
      <w:r w:rsidR="00C7316A" w:rsidRPr="009D21FE">
        <w:rPr>
          <w:rFonts w:cs="ITCFranklinGothicStd-Book"/>
        </w:rPr>
        <w:t xml:space="preserve">: </w:t>
      </w:r>
      <w:r w:rsidR="0057638C">
        <w:rPr>
          <w:rFonts w:cs="ITCFranklinGothicStd-Book"/>
        </w:rPr>
        <w:t>Open shade system only available.</w:t>
      </w:r>
    </w:p>
    <w:p w14:paraId="24061B12" w14:textId="56FC4C06" w:rsidR="00755B07" w:rsidRDefault="00755B07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C.  Side Channels: </w:t>
      </w:r>
      <w:r w:rsidR="008E7A01">
        <w:rPr>
          <w:rFonts w:cs="ITCFranklinGothicStd-Book"/>
        </w:rPr>
        <w:t>Manufacturer’s patented two-piece side channel system, made from extruded</w:t>
      </w:r>
    </w:p>
    <w:p w14:paraId="683A67A5" w14:textId="4BCA6EBE" w:rsidR="008E7A01" w:rsidRDefault="008E7A0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aluminum with powder-coated or anodized finish to resist exterior elements, and capable</w:t>
      </w:r>
    </w:p>
    <w:p w14:paraId="300741D2" w14:textId="3FC9967F" w:rsidR="008E7A01" w:rsidRDefault="008E7A0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of retaining a 16’ wide shade with solid fabric in up to 23 mph wind, or a 12’ wide shade</w:t>
      </w:r>
    </w:p>
    <w:p w14:paraId="339F67C5" w14:textId="0DADA4E3" w:rsidR="008E7A01" w:rsidRPr="009D21FE" w:rsidRDefault="008E7A0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in up to 30 mph wind.</w:t>
      </w:r>
      <w:r w:rsidR="0015429B">
        <w:rPr>
          <w:rFonts w:cs="ITCFranklinGothicStd-Book"/>
        </w:rPr>
        <w:t xml:space="preserve"> Fabric guides and bottom caps for fabric protection and finished look.</w:t>
      </w:r>
    </w:p>
    <w:p w14:paraId="729E96DC" w14:textId="77777777" w:rsidR="001630A2" w:rsidRDefault="00C7316A" w:rsidP="00E873F6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</w:t>
      </w:r>
      <w:r w:rsidR="008E7A01" w:rsidRPr="00011017">
        <w:rPr>
          <w:rFonts w:cs="ITCFranklinGothicStd-Book"/>
        </w:rPr>
        <w:t>D</w:t>
      </w:r>
      <w:r w:rsidR="00D01DA0" w:rsidRPr="00011017">
        <w:rPr>
          <w:rFonts w:cs="ITCFranklinGothicStd-Book"/>
        </w:rPr>
        <w:t>. Mounting Hardware</w:t>
      </w:r>
      <w:r w:rsidR="00BF7580" w:rsidRPr="00011017">
        <w:rPr>
          <w:rFonts w:cs="ITCFranklinGothicStd-Book"/>
        </w:rPr>
        <w:t>: Manufacturer’s sta</w:t>
      </w:r>
      <w:r w:rsidR="00C238EF">
        <w:rPr>
          <w:rFonts w:cs="ITCFranklinGothicStd-Book"/>
        </w:rPr>
        <w:t>inless steel</w:t>
      </w:r>
      <w:r w:rsidR="001630A2">
        <w:rPr>
          <w:rFonts w:cs="ITCFranklinGothicStd-Book"/>
        </w:rPr>
        <w:t xml:space="preserve"> and zinc plated</w:t>
      </w:r>
      <w:r w:rsidR="00C238EF">
        <w:rPr>
          <w:rFonts w:cs="ITCFranklinGothicStd-Book"/>
        </w:rPr>
        <w:t>,</w:t>
      </w:r>
      <w:r w:rsidR="00BF7580" w:rsidRPr="00011017">
        <w:rPr>
          <w:rFonts w:cs="ITCFranklinGothicStd-Book"/>
        </w:rPr>
        <w:t xml:space="preserve"> </w:t>
      </w:r>
      <w:r w:rsidR="005B4C9F" w:rsidRPr="00011017">
        <w:rPr>
          <w:rFonts w:cs="ITCFranklinGothicStd-Book"/>
        </w:rPr>
        <w:t>powder-coated</w:t>
      </w:r>
      <w:r w:rsidR="00C238EF">
        <w:rPr>
          <w:rFonts w:cs="ITCFranklinGothicStd-Book"/>
        </w:rPr>
        <w:t xml:space="preserve"> </w:t>
      </w:r>
      <w:r w:rsidR="00D01DA0" w:rsidRPr="00011017">
        <w:rPr>
          <w:rFonts w:cs="ITCFranklinGothicStd-Book"/>
        </w:rPr>
        <w:t>br</w:t>
      </w:r>
      <w:r w:rsidR="00F35DE1" w:rsidRPr="00011017">
        <w:rPr>
          <w:rFonts w:cs="ITCFranklinGothicStd-Book"/>
        </w:rPr>
        <w:t>ackets</w:t>
      </w:r>
    </w:p>
    <w:p w14:paraId="1D312477" w14:textId="5D3B6E4B" w:rsidR="00BC7810" w:rsidRDefault="001630A2" w:rsidP="00C238EF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C238EF">
        <w:rPr>
          <w:rFonts w:cs="ITCFranklinGothicStd-Book"/>
        </w:rPr>
        <w:t xml:space="preserve"> rated for exterior</w:t>
      </w:r>
      <w:r>
        <w:rPr>
          <w:rFonts w:cs="ITCFranklinGothicStd-Book"/>
        </w:rPr>
        <w:t xml:space="preserve"> </w:t>
      </w:r>
      <w:r w:rsidR="00C238EF">
        <w:rPr>
          <w:rFonts w:cs="ITCFranklinGothicStd-Book"/>
        </w:rPr>
        <w:t xml:space="preserve">coastal applications, </w:t>
      </w:r>
      <w:r w:rsidR="000A2C8A" w:rsidRPr="00011017">
        <w:rPr>
          <w:rFonts w:cs="ITCFranklinGothicStd-Book"/>
        </w:rPr>
        <w:t>designed for easy installation and removal of shade unit</w:t>
      </w:r>
      <w:r w:rsidR="00D01DA0" w:rsidRPr="00011017">
        <w:rPr>
          <w:rFonts w:cs="ITCFranklinGothicStd-Book"/>
        </w:rPr>
        <w:t>.</w:t>
      </w:r>
    </w:p>
    <w:p w14:paraId="4C031268" w14:textId="64A225CA" w:rsidR="002F5C2C" w:rsidRDefault="002F5C2C" w:rsidP="00C238EF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Maximum shade area is 35m</w:t>
      </w:r>
      <w:r>
        <w:rPr>
          <w:rFonts w:cstheme="minorHAnsi"/>
        </w:rPr>
        <w:t>²</w:t>
      </w:r>
      <w:r>
        <w:rPr>
          <w:rFonts w:cs="ITCFranklinGothicStd-Book"/>
        </w:rPr>
        <w:t>.  Widths up to 23’ achievable.  Bearing idlers for smooth operation.</w:t>
      </w:r>
    </w:p>
    <w:p w14:paraId="157240C1" w14:textId="77777777" w:rsidR="000673A6" w:rsidRDefault="00BC781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lastRenderedPageBreak/>
        <w:t xml:space="preserve">           </w:t>
      </w:r>
      <w:r w:rsidR="0015429B">
        <w:rPr>
          <w:rFonts w:cs="ITCFranklinGothicStd-Book"/>
        </w:rPr>
        <w:t>E</w:t>
      </w:r>
      <w:r w:rsidR="00E53EB1" w:rsidRPr="00D807BE">
        <w:rPr>
          <w:rFonts w:cs="ITCFranklinGothicStd-Book"/>
        </w:rPr>
        <w:t xml:space="preserve">. Roller Tube: </w:t>
      </w:r>
      <w:r w:rsidR="00F53631" w:rsidRPr="00D807BE">
        <w:rPr>
          <w:rFonts w:cs="ITCFranklinGothicStd-Book"/>
        </w:rPr>
        <w:t xml:space="preserve">Extruded aluminum </w:t>
      </w:r>
      <w:r w:rsidR="00FA47ED" w:rsidRPr="00D807BE">
        <w:rPr>
          <w:rFonts w:cs="ITCFranklinGothicStd-Book"/>
        </w:rPr>
        <w:t>shade roller tube of</w:t>
      </w:r>
      <w:r w:rsidR="00A4766E" w:rsidRPr="00D807BE">
        <w:rPr>
          <w:rFonts w:cs="ITCFranklinGothicStd-Book"/>
        </w:rPr>
        <w:t xml:space="preserve"> </w:t>
      </w:r>
      <w:r w:rsidR="001630A2">
        <w:rPr>
          <w:rFonts w:cs="ITCFranklinGothicStd-Book"/>
        </w:rPr>
        <w:t>110</w:t>
      </w:r>
      <w:r w:rsidR="004F2583">
        <w:rPr>
          <w:rFonts w:cs="ITCFranklinGothicStd-Book"/>
        </w:rPr>
        <w:t>mm</w:t>
      </w:r>
      <w:r w:rsidR="000673A6">
        <w:rPr>
          <w:rFonts w:cs="ITCFranklinGothicStd-Book"/>
        </w:rPr>
        <w:t xml:space="preserve"> or 130mm </w:t>
      </w:r>
      <w:r w:rsidR="001630A2">
        <w:rPr>
          <w:rFonts w:cs="ITCFranklinGothicStd-Book"/>
        </w:rPr>
        <w:t>diameter, as required</w:t>
      </w:r>
    </w:p>
    <w:p w14:paraId="69A1884F" w14:textId="77777777" w:rsidR="000673A6" w:rsidRDefault="000673A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</w:t>
      </w:r>
      <w:r w:rsidR="001630A2"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>to support</w:t>
      </w:r>
      <w:r w:rsidR="00E873F6"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>shade fabric without excessive</w:t>
      </w:r>
      <w:r w:rsidR="00C7316A" w:rsidRPr="00D807BE"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 xml:space="preserve">deflection, </w:t>
      </w:r>
      <w:r>
        <w:rPr>
          <w:rFonts w:cs="ITCFranklinGothicStd-Book"/>
        </w:rPr>
        <w:t xml:space="preserve">with engineered </w:t>
      </w:r>
      <w:r w:rsidR="00E53EB1" w:rsidRPr="00D807BE">
        <w:rPr>
          <w:rFonts w:cs="ITCFranklinGothicStd-Book"/>
        </w:rPr>
        <w:t>wall &amp;</w:t>
      </w:r>
      <w:r w:rsidR="00C10570" w:rsidRPr="00D807BE">
        <w:rPr>
          <w:rFonts w:cs="ITCFranklinGothicStd-Book"/>
        </w:rPr>
        <w:t xml:space="preserve"> </w:t>
      </w:r>
      <w:r w:rsidR="00E53EB1" w:rsidRPr="00D807BE">
        <w:rPr>
          <w:rFonts w:cs="ITCFranklinGothicStd-Book"/>
        </w:rPr>
        <w:t>ribs</w:t>
      </w:r>
      <w:r w:rsidR="00A4766E" w:rsidRPr="00D807BE">
        <w:rPr>
          <w:rFonts w:cs="ITCFranklinGothicStd-Book"/>
        </w:rPr>
        <w:t xml:space="preserve"> to lock</w:t>
      </w:r>
      <w:r w:rsidR="001630A2">
        <w:rPr>
          <w:rFonts w:cs="ITCFranklinGothicStd-Book"/>
        </w:rPr>
        <w:t xml:space="preserve"> the</w:t>
      </w:r>
    </w:p>
    <w:p w14:paraId="58C1F5A4" w14:textId="61E13472" w:rsidR="002F5C2C" w:rsidRPr="00D807BE" w:rsidRDefault="000673A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</w:t>
      </w:r>
      <w:r w:rsidR="001630A2">
        <w:rPr>
          <w:rFonts w:cs="ITCFranklinGothicStd-Book"/>
        </w:rPr>
        <w:t xml:space="preserve"> motor</w:t>
      </w:r>
      <w:r w:rsidR="00C7316A" w:rsidRPr="00D807BE">
        <w:rPr>
          <w:rFonts w:cs="ITCFranklinGothicStd-Book"/>
        </w:rPr>
        <w:t xml:space="preserve"> stop mechanism </w:t>
      </w:r>
      <w:r w:rsidR="00E53EB1" w:rsidRPr="00D807BE">
        <w:rPr>
          <w:rFonts w:cs="ITCFranklinGothicStd-Book"/>
        </w:rPr>
        <w:t>into place</w:t>
      </w:r>
      <w:r w:rsidR="00A4766E" w:rsidRPr="00D807BE">
        <w:rPr>
          <w:rFonts w:cs="ITCFranklinGothicStd-Book"/>
        </w:rPr>
        <w:t>,</w:t>
      </w:r>
      <w:r w:rsidR="00E53EB1" w:rsidRPr="00D807BE">
        <w:rPr>
          <w:rFonts w:cs="ITCFranklinGothicStd-Book"/>
        </w:rPr>
        <w:t xml:space="preserve"> providing strength &amp; durability. </w:t>
      </w:r>
    </w:p>
    <w:p w14:paraId="435309C1" w14:textId="7885B27F" w:rsidR="00CA3727" w:rsidRPr="00D807BE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</w:t>
      </w:r>
      <w:r w:rsidR="0015429B">
        <w:rPr>
          <w:rFonts w:cs="ITCFranklinGothicStd-Book"/>
        </w:rPr>
        <w:t>F</w:t>
      </w:r>
      <w:r w:rsidR="00A4766E" w:rsidRPr="00D807BE">
        <w:rPr>
          <w:rFonts w:cs="ITCFranklinGothicStd-Book"/>
        </w:rPr>
        <w:t xml:space="preserve">.  Fabric Attachment to Tube: </w:t>
      </w:r>
      <w:bookmarkStart w:id="6" w:name="_Hlk497936995"/>
      <w:r w:rsidR="00A4766E" w:rsidRPr="00D807BE">
        <w:rPr>
          <w:rFonts w:cs="ITCFranklinGothicStd-Book"/>
        </w:rPr>
        <w:t xml:space="preserve">Provide for positive mechanical attachment of fabric to </w:t>
      </w:r>
    </w:p>
    <w:p w14:paraId="0A8F5487" w14:textId="77777777" w:rsidR="004F2583" w:rsidRDefault="00CA3727" w:rsidP="002A2EA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     </w:t>
      </w:r>
      <w:r w:rsidR="00A4766E" w:rsidRPr="00D807BE">
        <w:rPr>
          <w:rFonts w:cs="ITCFranklinGothicStd-Book"/>
        </w:rPr>
        <w:t>roller tube via</w:t>
      </w:r>
      <w:r w:rsidR="001C17AB">
        <w:rPr>
          <w:rFonts w:cs="ITCFranklinGothicStd-Book"/>
        </w:rPr>
        <w:t xml:space="preserve"> </w:t>
      </w:r>
      <w:r w:rsidR="002A2EA9" w:rsidRPr="002A2EA9">
        <w:rPr>
          <w:rFonts w:cs="ITCFranklinGothicStd-Book"/>
        </w:rPr>
        <w:t>Spline attachment - shall consist of a PVC spline heat-welded to the shade fabric</w:t>
      </w:r>
    </w:p>
    <w:p w14:paraId="383D7F41" w14:textId="7419C2D5" w:rsidR="001C17AB" w:rsidRDefault="004F2583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and </w:t>
      </w:r>
      <w:r w:rsidR="002A2EA9" w:rsidRPr="002A2EA9">
        <w:rPr>
          <w:rFonts w:cs="ITCFranklinGothicStd-Book"/>
        </w:rPr>
        <w:t xml:space="preserve">inserted into a channel on the roller tube.  </w:t>
      </w:r>
    </w:p>
    <w:bookmarkEnd w:id="6"/>
    <w:p w14:paraId="05BEB305" w14:textId="6714A715" w:rsidR="00955AEE" w:rsidRPr="00D807BE" w:rsidRDefault="0015429B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G</w:t>
      </w:r>
      <w:r w:rsidR="004F2583">
        <w:rPr>
          <w:rFonts w:cs="ITCFranklinGothicStd-Book"/>
        </w:rPr>
        <w:t xml:space="preserve">.  Fabric Attachment to Side Channels: </w:t>
      </w:r>
      <w:r w:rsidR="00955AEE" w:rsidRPr="00D807BE">
        <w:rPr>
          <w:rFonts w:cs="ITCFranklinGothicStd-Book"/>
        </w:rPr>
        <w:t xml:space="preserve">Provide for positive mechanical attachment of fabric to </w:t>
      </w:r>
    </w:p>
    <w:p w14:paraId="4BE17182" w14:textId="77777777" w:rsidR="00955AEE" w:rsidRDefault="00955AEE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     </w:t>
      </w:r>
      <w:r>
        <w:rPr>
          <w:rFonts w:cs="ITCFranklinGothicStd-Book"/>
        </w:rPr>
        <w:t>side channels</w:t>
      </w:r>
      <w:r w:rsidRPr="00D807BE">
        <w:rPr>
          <w:rFonts w:cs="ITCFranklinGothicStd-Book"/>
        </w:rPr>
        <w:t xml:space="preserve"> via</w:t>
      </w:r>
      <w:r>
        <w:rPr>
          <w:rFonts w:cs="ITCFranklinGothicStd-Book"/>
        </w:rPr>
        <w:t xml:space="preserve"> patented zip system - shall consist of a number 6 zip</w:t>
      </w:r>
      <w:r w:rsidRPr="002A2EA9">
        <w:rPr>
          <w:rFonts w:cs="ITCFranklinGothicStd-Book"/>
        </w:rPr>
        <w:t xml:space="preserve"> heat-welded to the shade</w:t>
      </w:r>
    </w:p>
    <w:p w14:paraId="1B544D02" w14:textId="03CEB804" w:rsidR="004F2583" w:rsidRPr="00D807BE" w:rsidRDefault="00955AEE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fabric and </w:t>
      </w:r>
      <w:r w:rsidRPr="002A2EA9">
        <w:rPr>
          <w:rFonts w:cs="ITCFranklinGothicStd-Book"/>
        </w:rPr>
        <w:t>inserted into</w:t>
      </w:r>
      <w:r>
        <w:rPr>
          <w:rFonts w:cs="ITCFranklinGothicStd-Book"/>
        </w:rPr>
        <w:t xml:space="preserve"> a channel on the floating side channel</w:t>
      </w:r>
      <w:r w:rsidRPr="002A2EA9">
        <w:rPr>
          <w:rFonts w:cs="ITCFranklinGothicStd-Book"/>
        </w:rPr>
        <w:t xml:space="preserve">.  </w:t>
      </w:r>
    </w:p>
    <w:p w14:paraId="025D6D86" w14:textId="2634C539" w:rsidR="00955AEE" w:rsidRDefault="00D01DA0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</w:t>
      </w:r>
      <w:r w:rsidR="0015429B">
        <w:rPr>
          <w:rFonts w:cs="ITCFranklinGothicStd-Book"/>
        </w:rPr>
        <w:t>H</w:t>
      </w:r>
      <w:r w:rsidRPr="00D807BE">
        <w:rPr>
          <w:rFonts w:cs="ITCFranklinGothicStd-Book"/>
        </w:rPr>
        <w:t xml:space="preserve">. </w:t>
      </w:r>
      <w:r w:rsidR="002117CE" w:rsidRPr="00D807BE">
        <w:rPr>
          <w:rFonts w:cs="ITCFranklinGothicStd-Book"/>
        </w:rPr>
        <w:t xml:space="preserve"> </w:t>
      </w:r>
      <w:r w:rsidR="00955AEE">
        <w:rPr>
          <w:rFonts w:cs="ITCFranklinGothicStd-Book"/>
        </w:rPr>
        <w:t>Hem Bar</w:t>
      </w:r>
      <w:r w:rsidR="00B87801" w:rsidRPr="00D807BE">
        <w:rPr>
          <w:rFonts w:cs="ITCFranklinGothicStd-Book"/>
        </w:rPr>
        <w:t xml:space="preserve">: </w:t>
      </w:r>
      <w:r w:rsidR="00F53631" w:rsidRPr="00955AEE">
        <w:rPr>
          <w:rFonts w:cs="ITCFranklinGothicStd-Book"/>
        </w:rPr>
        <w:t>Exposed aluminum extruded hem</w:t>
      </w:r>
      <w:r w:rsidR="00004FBC" w:rsidRPr="00955AEE">
        <w:rPr>
          <w:rFonts w:cs="ITCFranklinGothicStd-Book"/>
        </w:rPr>
        <w:t xml:space="preserve"> </w:t>
      </w:r>
      <w:r w:rsidR="00F53631" w:rsidRPr="00955AEE">
        <w:rPr>
          <w:rFonts w:cs="ITCFranklinGothicStd-Book"/>
        </w:rPr>
        <w:t>bar, of manufa</w:t>
      </w:r>
      <w:r w:rsidR="00F13779" w:rsidRPr="00955AEE">
        <w:rPr>
          <w:rFonts w:cs="ITCFranklinGothicStd-Book"/>
        </w:rPr>
        <w:t>cturer’s standard configuration</w:t>
      </w:r>
      <w:r w:rsidR="00F53631" w:rsidRPr="00955AEE">
        <w:rPr>
          <w:rFonts w:cs="ITCFranklinGothicStd-Book"/>
        </w:rPr>
        <w:t>,</w:t>
      </w:r>
    </w:p>
    <w:p w14:paraId="118E7F23" w14:textId="77777777" w:rsidR="00011017" w:rsidRDefault="00955AEE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F53631" w:rsidRPr="00955AEE">
        <w:rPr>
          <w:rFonts w:cs="ITCFranklinGothicStd-Book"/>
        </w:rPr>
        <w:t xml:space="preserve"> with coordinating end caps.  Color / finish as selected by Architect</w:t>
      </w:r>
      <w:r w:rsidR="00011017">
        <w:rPr>
          <w:rFonts w:cs="ITCFranklinGothicStd-Book"/>
        </w:rPr>
        <w:t xml:space="preserve"> </w:t>
      </w:r>
      <w:r w:rsidR="00011017" w:rsidRPr="009D21FE">
        <w:rPr>
          <w:rFonts w:cs="ITCFranklinGothicStd-Book"/>
        </w:rPr>
        <w:t>from manufacturer’s full</w:t>
      </w:r>
    </w:p>
    <w:p w14:paraId="530AC458" w14:textId="77777777" w:rsidR="001630A2" w:rsidRDefault="00011017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9D21FE">
        <w:rPr>
          <w:rFonts w:cs="ITCFranklinGothicStd-Book"/>
        </w:rPr>
        <w:t xml:space="preserve"> range</w:t>
      </w:r>
      <w:r w:rsidR="00F53631" w:rsidRPr="00955AEE">
        <w:rPr>
          <w:rFonts w:cs="ITCFranklinGothicStd-Book"/>
        </w:rPr>
        <w:t>.</w:t>
      </w:r>
      <w:r w:rsidR="004470F0" w:rsidRPr="00955AEE">
        <w:rPr>
          <w:rFonts w:cs="ITCFranklinGothicStd-Book"/>
        </w:rPr>
        <w:t xml:space="preserve"> </w:t>
      </w:r>
      <w:r>
        <w:rPr>
          <w:rFonts w:cs="ITCFranklinGothicStd-Book"/>
        </w:rPr>
        <w:t>H</w:t>
      </w:r>
      <w:r w:rsidR="001630A2">
        <w:rPr>
          <w:rFonts w:cs="ITCFranklinGothicStd-Book"/>
        </w:rPr>
        <w:t>eavy-</w:t>
      </w:r>
      <w:r>
        <w:rPr>
          <w:rFonts w:cs="ITCFranklinGothicStd-Book"/>
        </w:rPr>
        <w:t>D</w:t>
      </w:r>
      <w:r w:rsidR="001630A2">
        <w:rPr>
          <w:rFonts w:cs="ITCFranklinGothicStd-Book"/>
        </w:rPr>
        <w:t>uty</w:t>
      </w:r>
      <w:r>
        <w:rPr>
          <w:rFonts w:cs="ITCFranklinGothicStd-Book"/>
        </w:rPr>
        <w:t xml:space="preserve"> hem bar (</w:t>
      </w:r>
      <w:r w:rsidR="001630A2">
        <w:rPr>
          <w:rFonts w:cs="ITCFranklinGothicStd-Book"/>
        </w:rPr>
        <w:t>standard</w:t>
      </w:r>
      <w:r>
        <w:rPr>
          <w:rFonts w:cs="ITCFranklinGothicStd-Book"/>
        </w:rPr>
        <w:t>)</w:t>
      </w:r>
      <w:r w:rsidR="00E35478" w:rsidRPr="00955AEE">
        <w:rPr>
          <w:rFonts w:cs="ITCFranklinGothicStd-Book"/>
        </w:rPr>
        <w:t xml:space="preserve"> </w:t>
      </w:r>
      <w:r w:rsidR="001630A2">
        <w:rPr>
          <w:rFonts w:cs="ITCFranklinGothicStd-Book"/>
        </w:rPr>
        <w:t>with</w:t>
      </w:r>
      <w:r w:rsidR="003B2882" w:rsidRPr="00955AEE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bottom</w:t>
      </w:r>
      <w:r>
        <w:rPr>
          <w:rFonts w:cs="ITCFranklinGothicStd-Book"/>
        </w:rPr>
        <w:t xml:space="preserve"> </w:t>
      </w:r>
      <w:r w:rsidR="001630A2">
        <w:rPr>
          <w:rFonts w:cs="ITCFranklinGothicStd-Book"/>
        </w:rPr>
        <w:t xml:space="preserve">extrusion feature to </w:t>
      </w:r>
      <w:r w:rsidR="00912ADC" w:rsidRPr="00955AEE">
        <w:rPr>
          <w:rFonts w:cs="ITCFranklinGothicStd-Book"/>
        </w:rPr>
        <w:t>add light blocking</w:t>
      </w:r>
    </w:p>
    <w:p w14:paraId="60E2F7FA" w14:textId="0C252904" w:rsidR="00955AEE" w:rsidRDefault="001630A2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12ADC" w:rsidRPr="00955AEE">
        <w:rPr>
          <w:rFonts w:cs="ITCFranklinGothicStd-Book"/>
        </w:rPr>
        <w:t xml:space="preserve"> b</w:t>
      </w:r>
      <w:r w:rsidR="00955AEE">
        <w:rPr>
          <w:rFonts w:cs="ITCFranklinGothicStd-Book"/>
        </w:rPr>
        <w:t xml:space="preserve">rush or bubble seal for blocking </w:t>
      </w:r>
      <w:r w:rsidR="00912ADC" w:rsidRPr="00955AEE">
        <w:rPr>
          <w:rFonts w:cs="ITCFranklinGothicStd-Book"/>
        </w:rPr>
        <w:t>light against the sill.</w:t>
      </w:r>
    </w:p>
    <w:p w14:paraId="0FB9EE16" w14:textId="5D22CAB8" w:rsidR="007D124E" w:rsidRPr="005376E7" w:rsidRDefault="00955AEE" w:rsidP="005376E7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</w:t>
      </w:r>
      <w:bookmarkStart w:id="7" w:name="_GoBack"/>
      <w:bookmarkEnd w:id="7"/>
    </w:p>
    <w:p w14:paraId="04017D64" w14:textId="704849B8" w:rsidR="001A3C63" w:rsidRPr="000D4584" w:rsidRDefault="0015429B" w:rsidP="00011017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8B275E" w:rsidRPr="00A560A8">
        <w:rPr>
          <w:rFonts w:asciiTheme="minorHAnsi" w:hAnsiTheme="minorHAnsi" w:cstheme="minorHAnsi"/>
          <w:sz w:val="22"/>
          <w:szCs w:val="22"/>
        </w:rPr>
        <w:t xml:space="preserve">.  </w:t>
      </w:r>
      <w:r w:rsidR="00F768D3" w:rsidRPr="00A560A8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="004E4BA9" w:rsidRPr="00A560A8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A560A8">
        <w:rPr>
          <w:rFonts w:asciiTheme="minorHAnsi" w:hAnsiTheme="minorHAnsi" w:cstheme="minorHAnsi"/>
          <w:sz w:val="22"/>
          <w:szCs w:val="22"/>
        </w:rPr>
        <w:t>Inherently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 anti-static, flame retardant, fade and stain resistant, light filtering, room darkening, or blackout fabrics as selected by the architect from Rollease</w:t>
      </w:r>
      <w:r w:rsidR="000262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Acmeda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A1B50">
        <w:rPr>
          <w:rFonts w:asciiTheme="minorHAnsi" w:hAnsiTheme="minorHAnsi" w:cstheme="minorHAnsi"/>
          <w:sz w:val="22"/>
          <w:szCs w:val="22"/>
        </w:rPr>
        <w:t>Texstyle</w:t>
      </w:r>
      <w:proofErr w:type="spellEnd"/>
      <w:r w:rsidR="00BA1B50">
        <w:rPr>
          <w:rFonts w:asciiTheme="minorHAnsi" w:hAnsiTheme="minorHAnsi" w:cstheme="minorHAnsi"/>
          <w:sz w:val="22"/>
          <w:szCs w:val="22"/>
        </w:rPr>
        <w:t xml:space="preserve"> USA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Verosol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or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Almedahls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 Solar Control and Shade Color </w:t>
      </w:r>
      <w:r w:rsidR="00BA1B50">
        <w:rPr>
          <w:rFonts w:asciiTheme="minorHAnsi" w:hAnsiTheme="minorHAnsi" w:cstheme="minorHAnsi"/>
          <w:sz w:val="22"/>
          <w:szCs w:val="22"/>
        </w:rPr>
        <w:t>from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 available contract colors.</w:t>
      </w:r>
      <w:r w:rsidR="001A3C63" w:rsidRPr="00D807BE">
        <w:rPr>
          <w:rFonts w:asciiTheme="minorHAnsi" w:hAnsiTheme="minorHAnsi" w:cstheme="minorHAnsi"/>
          <w:sz w:val="22"/>
          <w:szCs w:val="22"/>
        </w:rPr>
        <w:t xml:space="preserve">  </w:t>
      </w:r>
      <w:hyperlink r:id="rId13" w:history="1">
        <w:r w:rsidR="001A3C63" w:rsidRPr="00D807BE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  <w:r w:rsidR="001A3C63" w:rsidRPr="000D45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5DAB7" w14:textId="339B66EE" w:rsidR="00F768D3" w:rsidRPr="004E4BA9" w:rsidRDefault="00F768D3" w:rsidP="004E4BA9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22ABF215" w14:textId="77777777" w:rsidR="00952A41" w:rsidRPr="004E4BA9" w:rsidRDefault="00952A41" w:rsidP="00952A4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id="8" w:name="_Hlk481951633"/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3000 Net</w:t>
      </w:r>
      <w:r w:rsidRPr="004E4BA9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3972CF9E" w14:textId="77777777" w:rsidR="00952A41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0493BEE3" w14:textId="77777777" w:rsidR="00952A41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330EBFD1" w14:textId="77777777" w:rsidR="00952A41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4653D0">
        <w:rPr>
          <w:rFonts w:ascii="ITCFranklinGothicStd-Book" w:hAnsi="ITCFranklinGothicStd-Book" w:cs="ITCFranklinGothicStd-Book"/>
        </w:rPr>
        <w:t xml:space="preserve">25% polyester, </w:t>
      </w:r>
      <w:r>
        <w:rPr>
          <w:rFonts w:ascii="ITCFranklinGothicStd-Book" w:hAnsi="ITCFranklinGothicStd-Book" w:cs="ITCFranklinGothicStd-Book"/>
        </w:rPr>
        <w:t xml:space="preserve">75% </w:t>
      </w:r>
      <w:r w:rsidRPr="007F790B">
        <w:rPr>
          <w:rFonts w:ascii="ITCFranklinGothicStd-Book" w:hAnsi="ITCFranklinGothicStd-Book" w:cs="ITCFranklinGothicStd-Book"/>
        </w:rPr>
        <w:t xml:space="preserve">PVC – odor free.   </w:t>
      </w:r>
    </w:p>
    <w:p w14:paraId="57E174FD" w14:textId="77777777" w:rsidR="00952A41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 xml:space="preserve">Openness factor 1% to 10%. </w:t>
      </w:r>
    </w:p>
    <w:p w14:paraId="7F51F35C" w14:textId="77777777" w:rsidR="00952A41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>Weight 11.36 to 16.7 oz. per sq.</w:t>
      </w:r>
      <w:r>
        <w:rPr>
          <w:rFonts w:ascii="ITCFranklinGothicStd-Book" w:hAnsi="ITCFranklinGothicStd-Book" w:cs="ITCFranklinGothicStd-Book"/>
        </w:rPr>
        <w:t xml:space="preserve"> </w:t>
      </w:r>
      <w:r w:rsidRPr="007F790B">
        <w:rPr>
          <w:rFonts w:ascii="ITCFranklinGothicStd-Book" w:hAnsi="ITCFranklinGothicStd-Book" w:cs="ITCFranklinGothicStd-Book"/>
        </w:rPr>
        <w:t>yd.</w:t>
      </w:r>
    </w:p>
    <w:bookmarkEnd w:id="8"/>
    <w:p w14:paraId="05F20E61" w14:textId="77777777" w:rsidR="00952A41" w:rsidRPr="009626E1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321E5FC1" w14:textId="77777777" w:rsidR="00952A41" w:rsidRPr="009B55B8" w:rsidRDefault="00952A41" w:rsidP="00952A4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4</w:t>
      </w:r>
      <w:r w:rsidRPr="009B55B8">
        <w:rPr>
          <w:rFonts w:ascii="ITCFranklinGothicStd-Book" w:hAnsi="ITCFranklinGothicStd-Book" w:cs="ITCFranklinGothicStd-Book"/>
          <w:b/>
        </w:rPr>
        <w:t xml:space="preserve">000 Net Solar Control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524C31A6" w14:textId="77777777" w:rsidR="00952A41" w:rsidRPr="009B55B8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50199288" w14:textId="77777777" w:rsidR="00952A41" w:rsidRPr="009B55B8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00175476" w14:textId="77777777" w:rsidR="00952A41" w:rsidRPr="009B55B8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14:paraId="1A0FD94F" w14:textId="77777777" w:rsidR="00952A41" w:rsidRPr="009B55B8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14:paraId="6D106624" w14:textId="77777777" w:rsidR="00952A41" w:rsidRPr="00B44C8E" w:rsidRDefault="00952A41" w:rsidP="00952A41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14:paraId="292B74A6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0326D89A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             3.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HT Solar Control Fabric </w:t>
      </w:r>
      <w:bookmarkStart w:id="9" w:name="_Hlk536432358"/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  <w:bookmarkEnd w:id="9"/>
    </w:p>
    <w:p w14:paraId="04504CB0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179AAD05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23EC6250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3E8468EC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718282AE" w14:textId="1DB2AC8C" w:rsidR="00952A41" w:rsidRPr="00AD2CB3" w:rsidRDefault="00952A41" w:rsidP="00AD2CB3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3C229239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4A1C1ABB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4.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RR</w:t>
      </w:r>
      <w:r w:rsidRPr="009B55B8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</w:t>
      </w:r>
      <w:r w:rsidRPr="009B55B8">
        <w:rPr>
          <w:rFonts w:ascii="ITCFranklinGothicStd-Book" w:hAnsi="ITCFranklinGothicStd-Book" w:cs="ITCFranklinGothicStd-Book"/>
          <w:b/>
        </w:rPr>
        <w:t xml:space="preserve">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333A5E49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613FF501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6DA70313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3B2DD654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68843A0B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33B3968F" w14:textId="77777777" w:rsidR="00952A41" w:rsidRPr="00983832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0BA3A845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 w:rsidRPr="009B55B8">
        <w:rPr>
          <w:rFonts w:ascii="ITCFranklinGothicStd-Med" w:hAnsi="ITCFranklinGothicStd-Med" w:cs="ITCFranklinGothicStd-Med"/>
          <w:b/>
        </w:rPr>
        <w:lastRenderedPageBreak/>
        <w:t xml:space="preserve">                                5. 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SilverScreen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14:paraId="207B1B03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</w:t>
      </w: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>a.   Fully aluminized backing</w:t>
      </w:r>
    </w:p>
    <w:p w14:paraId="2DC8018E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76% to 82% </w:t>
      </w:r>
    </w:p>
    <w:p w14:paraId="6CF078A7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c.</w:t>
      </w:r>
      <w:r w:rsidRPr="009B55B8">
        <w:rPr>
          <w:rFonts w:ascii="ITCFranklinGothicStd-Med" w:hAnsi="ITCFranklinGothicStd-Med" w:cs="ITCFranklinGothicStd-Med"/>
        </w:rPr>
        <w:tab/>
        <w:t>PVC-coated fiberglass</w:t>
      </w:r>
    </w:p>
    <w:p w14:paraId="6051973A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d.</w:t>
      </w:r>
      <w:r w:rsidRPr="009B55B8">
        <w:rPr>
          <w:rFonts w:ascii="ITCFranklinGothicStd-Med" w:hAnsi="ITCFranklinGothicStd-Med" w:cs="ITCFranklinGothicStd-Med"/>
        </w:rPr>
        <w:tab/>
        <w:t xml:space="preserve">Openness factor: 2% or 4% </w:t>
      </w:r>
    </w:p>
    <w:p w14:paraId="35236FF3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e.</w:t>
      </w:r>
      <w:r w:rsidRPr="009B55B8">
        <w:rPr>
          <w:rFonts w:ascii="ITCFranklinGothicStd-Med" w:hAnsi="ITCFranklinGothicStd-Med" w:cs="ITCFranklinGothicStd-Med"/>
        </w:rPr>
        <w:tab/>
        <w:t>Light transmission: 3% to 6%</w:t>
      </w:r>
    </w:p>
    <w:p w14:paraId="2B8A9BFD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f.</w:t>
      </w:r>
      <w:r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Weight: 11.8 oz. per sq. yd.</w:t>
      </w:r>
    </w:p>
    <w:p w14:paraId="7F8F0329" w14:textId="77777777" w:rsidR="00952A41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2C793C53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>
        <w:rPr>
          <w:rFonts w:ascii="ITCFranklinGothicStd-Med" w:hAnsi="ITCFranklinGothicStd-Med" w:cs="ITCFranklinGothicStd-Med"/>
        </w:rPr>
        <w:tab/>
      </w:r>
      <w:r>
        <w:rPr>
          <w:rFonts w:ascii="ITCFranklinGothicStd-Med" w:hAnsi="ITCFranklinGothicStd-Med" w:cs="ITCFranklinGothicStd-Med"/>
        </w:rPr>
        <w:tab/>
        <w:t xml:space="preserve">  </w:t>
      </w:r>
      <w:r w:rsidRPr="009B55B8">
        <w:rPr>
          <w:rFonts w:ascii="ITCFranklinGothicStd-Med" w:hAnsi="ITCFranklinGothicStd-Med" w:cs="ITCFranklinGothicStd-Med"/>
          <w:b/>
        </w:rPr>
        <w:t xml:space="preserve">6.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EnviroScreen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14:paraId="420BFC84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         a.   Fully aluminized backing</w:t>
      </w:r>
    </w:p>
    <w:p w14:paraId="60E32EEA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</w:t>
      </w:r>
      <w:r>
        <w:rPr>
          <w:rFonts w:ascii="ITCFranklinGothicStd-Med" w:hAnsi="ITCFranklinGothicStd-Med" w:cs="ITCFranklinGothicStd-Med"/>
        </w:rPr>
        <w:t xml:space="preserve">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74% </w:t>
      </w:r>
    </w:p>
    <w:p w14:paraId="068BB47B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</w:t>
      </w:r>
      <w:r>
        <w:rPr>
          <w:rFonts w:ascii="ITCFranklinGothicStd-Med" w:hAnsi="ITCFranklinGothicStd-Med" w:cs="ITCFranklinGothicStd-Med"/>
        </w:rPr>
        <w:t xml:space="preserve">        </w:t>
      </w:r>
      <w:r w:rsidRPr="009B55B8">
        <w:rPr>
          <w:rFonts w:ascii="ITCFranklinGothicStd-Med" w:hAnsi="ITCFranklinGothicStd-Med" w:cs="ITCFranklinGothicStd-Med"/>
        </w:rPr>
        <w:t xml:space="preserve"> c.   100% polyester, PVC free, Cradle to Cradle certified (3.1)</w:t>
      </w:r>
    </w:p>
    <w:p w14:paraId="3897949F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</w:t>
      </w:r>
      <w:r>
        <w:rPr>
          <w:rFonts w:ascii="ITCFranklinGothicStd-Med" w:hAnsi="ITCFranklinGothicStd-Med" w:cs="ITCFranklinGothicStd-Med"/>
        </w:rPr>
        <w:t xml:space="preserve">                       </w:t>
      </w:r>
      <w:r w:rsidRPr="009B55B8">
        <w:rPr>
          <w:rFonts w:ascii="ITCFranklinGothicStd-Med" w:hAnsi="ITCFranklinGothicStd-Med" w:cs="ITCFranklinGothicStd-Med"/>
        </w:rPr>
        <w:t xml:space="preserve">d.   Openness Factor: 2% </w:t>
      </w:r>
    </w:p>
    <w:p w14:paraId="2A2D6B9C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  e.   Light transmission: 2% to 4%</w:t>
      </w:r>
    </w:p>
    <w:p w14:paraId="2B85FCF7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f.    Weight: 7.4 Oz. per sq. yd.</w:t>
      </w:r>
    </w:p>
    <w:p w14:paraId="4E465989" w14:textId="77777777" w:rsidR="00952A41" w:rsidRPr="004653D0" w:rsidRDefault="00952A41" w:rsidP="00952A41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7BE5B362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b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   7. Omnia Solar Control Fabric by </w:t>
      </w:r>
      <w:proofErr w:type="spellStart"/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>Verosol</w:t>
      </w:r>
      <w:proofErr w:type="spellEnd"/>
    </w:p>
    <w:p w14:paraId="361FB5E8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</w:t>
      </w:r>
      <w:r>
        <w:rPr>
          <w:rFonts w:ascii="ITCFranklinGothicStd-Book" w:hAnsi="ITCFranklinGothicStd-Book" w:cs="ITCFranklinGothicStd-Book"/>
          <w:b/>
          <w:color w:val="000000" w:themeColor="text1"/>
        </w:rPr>
        <w:t xml:space="preserve">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a.   Fully aluminized backing</w:t>
      </w:r>
    </w:p>
    <w:p w14:paraId="79925022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b.   Solar reflection: 72-74% </w:t>
      </w:r>
    </w:p>
    <w:p w14:paraId="7D1913CC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c.   PVC coated polyester: 25% fiberglass and 75% PVC</w:t>
      </w:r>
    </w:p>
    <w:p w14:paraId="4619653B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d.   Openness Factor: 3% </w:t>
      </w:r>
    </w:p>
    <w:p w14:paraId="574D6678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e.   Light transmission: 5% to 6%</w:t>
      </w:r>
    </w:p>
    <w:p w14:paraId="4F60E1DC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f.    Weight: 15.1 Oz. per sq. yd.</w:t>
      </w:r>
    </w:p>
    <w:p w14:paraId="52C58DB6" w14:textId="77777777" w:rsidR="00952A41" w:rsidRDefault="00952A41" w:rsidP="00952A41">
      <w:pPr>
        <w:pStyle w:val="ListParagraph"/>
        <w:autoSpaceDE w:val="0"/>
        <w:autoSpaceDN w:val="0"/>
        <w:adjustRightInd w:val="0"/>
        <w:spacing w:after="0" w:line="240" w:lineRule="auto"/>
        <w:ind w:left="2235"/>
        <w:rPr>
          <w:rFonts w:ascii="ITCFranklinGothicStd-Book" w:hAnsi="ITCFranklinGothicStd-Book" w:cs="ITCFranklinGothicStd-Book"/>
        </w:rPr>
      </w:pPr>
    </w:p>
    <w:p w14:paraId="7FDA6252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8.</w:t>
      </w:r>
      <w:r w:rsidRPr="009B55B8">
        <w:rPr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Mesa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77FAD082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6C1DFAA4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552569AD" w14:textId="77777777" w:rsidR="00952A41" w:rsidRDefault="00952A41" w:rsidP="00952A41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  <w:r>
        <w:rPr>
          <w:rFonts w:ascii="ITCFranklinGothicStd-Book" w:hAnsi="ITCFranklinGothicStd-Book" w:cs="ITCFranklinGothicStd-Book"/>
        </w:rPr>
        <w:t xml:space="preserve"> </w:t>
      </w:r>
    </w:p>
    <w:p w14:paraId="1753F4AE" w14:textId="77777777" w:rsidR="00952A41" w:rsidRDefault="00952A41" w:rsidP="00952A41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0ADE8118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 xml:space="preserve">9. Tempe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150B2CF2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68C7EE5E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59107DAA" w14:textId="77777777" w:rsidR="00952A41" w:rsidRDefault="00952A41" w:rsidP="00952A41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</w:p>
    <w:p w14:paraId="68B1C3B6" w14:textId="77777777" w:rsidR="00952A41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</w:p>
    <w:p w14:paraId="06AE1EF9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0</w:t>
      </w:r>
      <w:r w:rsidRPr="009B55B8">
        <w:rPr>
          <w:rFonts w:ascii="ITCFranklinGothicStd-Book" w:hAnsi="ITCFranklinGothicStd-Book" w:cs="ITCFranklinGothicStd-Book"/>
          <w:b/>
        </w:rPr>
        <w:t>. Ambient PVC Free Fabric</w:t>
      </w:r>
      <w:r w:rsidRPr="009B55B8">
        <w:rPr>
          <w:b/>
        </w:rPr>
        <w:t xml:space="preserve">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60E6E19D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Openness factor: 5%</w:t>
      </w:r>
    </w:p>
    <w:p w14:paraId="146A35DB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49A0C2AA" w14:textId="77777777" w:rsidR="00952A41" w:rsidRPr="00C6056E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C2C eligible fabric</w:t>
      </w:r>
    </w:p>
    <w:p w14:paraId="70A146C9" w14:textId="77777777" w:rsidR="00952A41" w:rsidRDefault="00952A41" w:rsidP="00AD2CB3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629B11DC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1</w:t>
      </w:r>
      <w:r w:rsidRPr="009B55B8">
        <w:rPr>
          <w:rFonts w:ascii="ITCFranklinGothicStd-Book" w:hAnsi="ITCFranklinGothicStd-Book" w:cs="ITCFranklinGothicStd-Book"/>
          <w:b/>
        </w:rPr>
        <w:t xml:space="preserve">. Anzio Translucent Light Filtering Fabric by </w:t>
      </w:r>
      <w:proofErr w:type="spellStart"/>
      <w:r w:rsidRPr="009B55B8">
        <w:rPr>
          <w:rFonts w:ascii="ITCFranklinGothicStd-Book" w:hAnsi="ITCFranklinGothicStd-Book" w:cs="ITCFranklinGothicStd-Book"/>
          <w:b/>
        </w:rPr>
        <w:t>Almedahls</w:t>
      </w:r>
      <w:proofErr w:type="spellEnd"/>
    </w:p>
    <w:p w14:paraId="720908A6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Translucent</w:t>
      </w:r>
    </w:p>
    <w:p w14:paraId="5F9DBF70" w14:textId="77777777" w:rsidR="00952A41" w:rsidRPr="009B55B8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41C624B2" w14:textId="77777777" w:rsidR="00952A41" w:rsidRDefault="00952A41" w:rsidP="00952A41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Weight: ~ 11 oz. / sq. yd.</w:t>
      </w:r>
    </w:p>
    <w:p w14:paraId="2EE05E9B" w14:textId="709A20D2" w:rsidR="002F5C2C" w:rsidRDefault="002F5C2C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63EA0130" w14:textId="7834A683" w:rsidR="002F5C2C" w:rsidRDefault="002F5C2C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16E4F0EB" w14:textId="67FB2EA0" w:rsidR="00AD2CB3" w:rsidRDefault="00AD2CB3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2A38A65D" w14:textId="77777777" w:rsidR="00AD2CB3" w:rsidRPr="00727005" w:rsidRDefault="00AD2CB3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7A36EE4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III EXECUTION</w:t>
      </w:r>
    </w:p>
    <w:p w14:paraId="2860A04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1DF135A2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14:paraId="49A3550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14:paraId="1A01CAD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14:paraId="51CF065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14:paraId="0E3279C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17719D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14:paraId="112736AF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14:paraId="2869886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14:paraId="73A3A7E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14:paraId="686DD8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14:paraId="592723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3.03   Installation</w:t>
      </w:r>
    </w:p>
    <w:p w14:paraId="4D995D2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14:paraId="0F96EA1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14:paraId="2B9F878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14:paraId="221EA2E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14:paraId="0C5C4A7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14:paraId="4BA27DB1" w14:textId="17942DDA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="00004FBC" w:rsidRPr="00F768D3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14:paraId="33BCD8CD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6ED600B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14:paraId="22E6814A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14:paraId="7FFAC3D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14:paraId="1E19036F" w14:textId="0C0334C3" w:rsidR="005E0860" w:rsidRPr="00F768D3" w:rsidRDefault="005E0860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5A0EB6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14:paraId="4EF32D30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14:paraId="621978C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14:paraId="063C660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62309A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14:paraId="1936808C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14:paraId="5AEE40C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14:paraId="01378B1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14:paraId="2967D6D0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67A2DD1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A729E91" w14:textId="0FA8B6D1" w:rsidR="001C5F2C" w:rsidRPr="001A3BD2" w:rsidRDefault="00850DC8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="001C5F2C" w:rsidRPr="001A3BD2" w:rsidSect="00A4105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C3B05" w14:textId="77777777" w:rsidR="00D612C2" w:rsidRDefault="00D612C2" w:rsidP="00F768D3">
      <w:pPr>
        <w:spacing w:after="0" w:line="240" w:lineRule="auto"/>
      </w:pPr>
      <w:r>
        <w:separator/>
      </w:r>
    </w:p>
  </w:endnote>
  <w:endnote w:type="continuationSeparator" w:id="0">
    <w:p w14:paraId="4A6ED2EF" w14:textId="77777777" w:rsidR="00D612C2" w:rsidRDefault="00D612C2" w:rsidP="00F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A94C" w14:textId="77777777" w:rsidR="00D612C2" w:rsidRDefault="00D612C2" w:rsidP="00F768D3">
      <w:pPr>
        <w:spacing w:after="0" w:line="240" w:lineRule="auto"/>
      </w:pPr>
      <w:r>
        <w:separator/>
      </w:r>
    </w:p>
  </w:footnote>
  <w:footnote w:type="continuationSeparator" w:id="0">
    <w:p w14:paraId="4E35161E" w14:textId="77777777" w:rsidR="00D612C2" w:rsidRDefault="00D612C2" w:rsidP="00F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DD6F" w14:textId="4670363B" w:rsidR="00F768D3" w:rsidRDefault="00F768D3">
    <w:pPr>
      <w:pStyle w:val="Header"/>
    </w:pPr>
    <w:r>
      <w:ptab w:relativeTo="margin" w:alignment="center" w:leader="none"/>
    </w:r>
    <w:r w:rsidR="007D124E">
      <w:rPr>
        <w:rFonts w:cs="ITCFranklinGothicStd-Book"/>
        <w:b/>
        <w:sz w:val="28"/>
        <w:szCs w:val="28"/>
      </w:rPr>
      <w:t>Rolle</w:t>
    </w:r>
    <w:r w:rsidR="00261C0F">
      <w:rPr>
        <w:rFonts w:cs="ITCFranklinGothicStd-Book"/>
        <w:b/>
        <w:sz w:val="28"/>
        <w:szCs w:val="28"/>
      </w:rPr>
      <w:t xml:space="preserve">ase </w:t>
    </w:r>
    <w:proofErr w:type="spellStart"/>
    <w:r w:rsidR="00261C0F">
      <w:rPr>
        <w:rFonts w:cs="ITCFranklinGothicStd-Book"/>
        <w:b/>
        <w:sz w:val="28"/>
        <w:szCs w:val="28"/>
      </w:rPr>
      <w:t>Acmeda</w:t>
    </w:r>
    <w:proofErr w:type="spellEnd"/>
    <w:r w:rsidR="00261C0F">
      <w:rPr>
        <w:rFonts w:cs="ITCFranklinGothicStd-Book"/>
        <w:b/>
        <w:sz w:val="28"/>
        <w:szCs w:val="28"/>
      </w:rPr>
      <w:t xml:space="preserve"> </w:t>
    </w:r>
    <w:proofErr w:type="spellStart"/>
    <w:r w:rsidR="008D6EFA">
      <w:rPr>
        <w:rFonts w:cs="ITCFranklinGothicStd-Book"/>
        <w:b/>
        <w:sz w:val="28"/>
        <w:szCs w:val="28"/>
      </w:rPr>
      <w:t>Zipscreen</w:t>
    </w:r>
    <w:proofErr w:type="spellEnd"/>
    <w:r w:rsidR="00F7486C">
      <w:rPr>
        <w:rFonts w:cs="ITCFranklinGothicStd-Book"/>
        <w:b/>
        <w:sz w:val="28"/>
        <w:szCs w:val="28"/>
      </w:rPr>
      <w:t xml:space="preserve"> Extreme</w:t>
    </w:r>
    <w:r w:rsidRPr="00F768D3">
      <w:rPr>
        <w:rFonts w:cs="ITCFranklinGothicStd-Book"/>
        <w:b/>
        <w:sz w:val="28"/>
        <w:szCs w:val="28"/>
      </w:rPr>
      <w:t xml:space="preserve"> </w:t>
    </w:r>
    <w:r w:rsidR="009A7FEE">
      <w:rPr>
        <w:rFonts w:cs="ITCFranklinGothicStd-Book"/>
        <w:b/>
        <w:sz w:val="28"/>
        <w:szCs w:val="28"/>
      </w:rPr>
      <w:t>Motorized</w:t>
    </w:r>
    <w:r w:rsidR="007431F4">
      <w:rPr>
        <w:rFonts w:cs="ITCFranklinGothicStd-Book"/>
        <w:b/>
        <w:sz w:val="28"/>
        <w:szCs w:val="28"/>
      </w:rPr>
      <w:t xml:space="preserve">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relativeTo="margin" w:alignment="right" w:leader="none"/>
    </w:r>
  </w:p>
  <w:p w14:paraId="2B8B5070" w14:textId="7CEB4E29" w:rsidR="00F768D3" w:rsidRDefault="008D6EFA" w:rsidP="00F768D3">
    <w:pPr>
      <w:pStyle w:val="Header"/>
      <w:jc w:val="center"/>
    </w:pPr>
    <w:r>
      <w:t>1</w:t>
    </w:r>
    <w:r w:rsidR="008D14B3">
      <w:t>-</w:t>
    </w:r>
    <w:r w:rsidR="00952A41">
      <w:t>31</w:t>
    </w:r>
    <w:r w:rsidR="008D14B3">
      <w:t>-201</w:t>
    </w:r>
    <w:r w:rsidR="00AD10FE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38702A3"/>
    <w:multiLevelType w:val="hybridMultilevel"/>
    <w:tmpl w:val="8A9E5E82"/>
    <w:lvl w:ilvl="0" w:tplc="EC481AC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F61CB1"/>
    <w:multiLevelType w:val="hybridMultilevel"/>
    <w:tmpl w:val="C2D63434"/>
    <w:lvl w:ilvl="0" w:tplc="07189C1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A0EA1"/>
    <w:multiLevelType w:val="hybridMultilevel"/>
    <w:tmpl w:val="C4DC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55A2"/>
    <w:multiLevelType w:val="hybridMultilevel"/>
    <w:tmpl w:val="17FEC454"/>
    <w:lvl w:ilvl="0" w:tplc="C0866A94">
      <w:start w:val="1"/>
      <w:numFmt w:val="upperRoman"/>
      <w:lvlText w:val="%1."/>
      <w:lvlJc w:val="left"/>
      <w:pPr>
        <w:ind w:left="135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5773D5C"/>
    <w:multiLevelType w:val="hybridMultilevel"/>
    <w:tmpl w:val="472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EFF"/>
    <w:multiLevelType w:val="hybridMultilevel"/>
    <w:tmpl w:val="8F1C9408"/>
    <w:lvl w:ilvl="0" w:tplc="815066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1320"/>
    <w:multiLevelType w:val="hybridMultilevel"/>
    <w:tmpl w:val="7EB6935C"/>
    <w:lvl w:ilvl="0" w:tplc="EFE2536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71878C0"/>
    <w:multiLevelType w:val="hybridMultilevel"/>
    <w:tmpl w:val="AAA86F58"/>
    <w:lvl w:ilvl="0" w:tplc="5C267FA6">
      <w:start w:val="2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61039F"/>
    <w:multiLevelType w:val="hybridMultilevel"/>
    <w:tmpl w:val="82EE4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942"/>
    <w:multiLevelType w:val="hybridMultilevel"/>
    <w:tmpl w:val="D7463120"/>
    <w:lvl w:ilvl="0" w:tplc="99D89EB4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6663206"/>
    <w:multiLevelType w:val="hybridMultilevel"/>
    <w:tmpl w:val="F20A1AEC"/>
    <w:lvl w:ilvl="0" w:tplc="E5E292AA">
      <w:start w:val="2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4" w15:restartNumberingAfterBreak="0">
    <w:nsid w:val="368C60D2"/>
    <w:multiLevelType w:val="hybridMultilevel"/>
    <w:tmpl w:val="3060402A"/>
    <w:lvl w:ilvl="0" w:tplc="0FFA44D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7B33E0"/>
    <w:multiLevelType w:val="hybridMultilevel"/>
    <w:tmpl w:val="9EB037AA"/>
    <w:lvl w:ilvl="0" w:tplc="6922BD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3A8962CF"/>
    <w:multiLevelType w:val="hybridMultilevel"/>
    <w:tmpl w:val="EDA8EB70"/>
    <w:lvl w:ilvl="0" w:tplc="369C5C56">
      <w:start w:val="9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D302274"/>
    <w:multiLevelType w:val="hybridMultilevel"/>
    <w:tmpl w:val="D8C2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2047"/>
    <w:multiLevelType w:val="hybridMultilevel"/>
    <w:tmpl w:val="0EC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15585"/>
    <w:multiLevelType w:val="hybridMultilevel"/>
    <w:tmpl w:val="CB7AC42E"/>
    <w:lvl w:ilvl="0" w:tplc="5B02CA20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45C2E62"/>
    <w:multiLevelType w:val="hybridMultilevel"/>
    <w:tmpl w:val="8F9E3272"/>
    <w:lvl w:ilvl="0" w:tplc="C9649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77103"/>
    <w:multiLevelType w:val="hybridMultilevel"/>
    <w:tmpl w:val="8F6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D03"/>
    <w:multiLevelType w:val="hybridMultilevel"/>
    <w:tmpl w:val="5DF867D8"/>
    <w:lvl w:ilvl="0" w:tplc="2AFC758C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BFF34ED"/>
    <w:multiLevelType w:val="hybridMultilevel"/>
    <w:tmpl w:val="3942FDDA"/>
    <w:lvl w:ilvl="0" w:tplc="22D2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454"/>
    <w:multiLevelType w:val="hybridMultilevel"/>
    <w:tmpl w:val="0C185E3E"/>
    <w:lvl w:ilvl="0" w:tplc="B55C3ADA">
      <w:start w:val="1"/>
      <w:numFmt w:val="lowerLetter"/>
      <w:lvlText w:val="%1."/>
      <w:lvlJc w:val="left"/>
      <w:pPr>
        <w:ind w:left="1875" w:hanging="36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25" w15:restartNumberingAfterBreak="0">
    <w:nsid w:val="4CD24C3F"/>
    <w:multiLevelType w:val="hybridMultilevel"/>
    <w:tmpl w:val="ACA481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E6397E"/>
    <w:multiLevelType w:val="hybridMultilevel"/>
    <w:tmpl w:val="D63E9B58"/>
    <w:lvl w:ilvl="0" w:tplc="A470D1D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166FAF"/>
    <w:multiLevelType w:val="hybridMultilevel"/>
    <w:tmpl w:val="165881C6"/>
    <w:lvl w:ilvl="0" w:tplc="67FEF380">
      <w:start w:val="3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5DCE76C3"/>
    <w:multiLevelType w:val="hybridMultilevel"/>
    <w:tmpl w:val="D0B094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D72D4"/>
    <w:multiLevelType w:val="hybridMultilevel"/>
    <w:tmpl w:val="02CA5C40"/>
    <w:lvl w:ilvl="0" w:tplc="69B008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3C7F81"/>
    <w:multiLevelType w:val="hybridMultilevel"/>
    <w:tmpl w:val="EB86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58B4"/>
    <w:multiLevelType w:val="hybridMultilevel"/>
    <w:tmpl w:val="72B62CEC"/>
    <w:lvl w:ilvl="0" w:tplc="D9E4917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39F5E87"/>
    <w:multiLevelType w:val="hybridMultilevel"/>
    <w:tmpl w:val="44A86B7C"/>
    <w:lvl w:ilvl="0" w:tplc="6562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1ED3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4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78930489"/>
    <w:multiLevelType w:val="hybridMultilevel"/>
    <w:tmpl w:val="BE1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31C9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 w15:restartNumberingAfterBreak="0">
    <w:nsid w:val="7E8331A1"/>
    <w:multiLevelType w:val="hybridMultilevel"/>
    <w:tmpl w:val="26B8B8D8"/>
    <w:lvl w:ilvl="0" w:tplc="DFDA2B52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5"/>
  </w:num>
  <w:num w:numId="5">
    <w:abstractNumId w:val="2"/>
  </w:num>
  <w:num w:numId="6">
    <w:abstractNumId w:val="17"/>
  </w:num>
  <w:num w:numId="7">
    <w:abstractNumId w:val="30"/>
  </w:num>
  <w:num w:numId="8">
    <w:abstractNumId w:val="19"/>
  </w:num>
  <w:num w:numId="9">
    <w:abstractNumId w:val="12"/>
  </w:num>
  <w:num w:numId="10">
    <w:abstractNumId w:val="13"/>
  </w:num>
  <w:num w:numId="11">
    <w:abstractNumId w:val="1"/>
  </w:num>
  <w:num w:numId="12">
    <w:abstractNumId w:val="32"/>
  </w:num>
  <w:num w:numId="13">
    <w:abstractNumId w:val="20"/>
  </w:num>
  <w:num w:numId="14">
    <w:abstractNumId w:val="23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34"/>
  </w:num>
  <w:num w:numId="23">
    <w:abstractNumId w:val="0"/>
  </w:num>
  <w:num w:numId="24">
    <w:abstractNumId w:val="6"/>
  </w:num>
  <w:num w:numId="25">
    <w:abstractNumId w:val="27"/>
  </w:num>
  <w:num w:numId="26">
    <w:abstractNumId w:val="25"/>
  </w:num>
  <w:num w:numId="27">
    <w:abstractNumId w:val="2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9">
    <w:abstractNumId w:val="16"/>
  </w:num>
  <w:num w:numId="40">
    <w:abstractNumId w:val="36"/>
  </w:num>
  <w:num w:numId="41">
    <w:abstractNumId w:val="33"/>
  </w:num>
  <w:num w:numId="42">
    <w:abstractNumId w:val="29"/>
  </w:num>
  <w:num w:numId="43">
    <w:abstractNumId w:val="18"/>
  </w:num>
  <w:num w:numId="44">
    <w:abstractNumId w:val="9"/>
  </w:num>
  <w:num w:numId="45">
    <w:abstractNumId w:val="7"/>
  </w:num>
  <w:num w:numId="46">
    <w:abstractNumId w:val="21"/>
  </w:num>
  <w:num w:numId="47">
    <w:abstractNumId w:val="4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4566"/>
    <w:rsid w:val="00004FBC"/>
    <w:rsid w:val="00010851"/>
    <w:rsid w:val="00011017"/>
    <w:rsid w:val="00020E54"/>
    <w:rsid w:val="0002620F"/>
    <w:rsid w:val="0003143A"/>
    <w:rsid w:val="0003604F"/>
    <w:rsid w:val="00061152"/>
    <w:rsid w:val="000673A6"/>
    <w:rsid w:val="00075279"/>
    <w:rsid w:val="00083818"/>
    <w:rsid w:val="00087C77"/>
    <w:rsid w:val="00096D17"/>
    <w:rsid w:val="000A2C8A"/>
    <w:rsid w:val="000D0FB5"/>
    <w:rsid w:val="000D3E3D"/>
    <w:rsid w:val="000D4584"/>
    <w:rsid w:val="000D6D02"/>
    <w:rsid w:val="000E4B5D"/>
    <w:rsid w:val="00124F3E"/>
    <w:rsid w:val="00126D48"/>
    <w:rsid w:val="0013394E"/>
    <w:rsid w:val="0015429B"/>
    <w:rsid w:val="0015479C"/>
    <w:rsid w:val="00155D17"/>
    <w:rsid w:val="00160756"/>
    <w:rsid w:val="001630A2"/>
    <w:rsid w:val="001671F7"/>
    <w:rsid w:val="001718D1"/>
    <w:rsid w:val="00197514"/>
    <w:rsid w:val="001A3BD2"/>
    <w:rsid w:val="001A3C63"/>
    <w:rsid w:val="001B7752"/>
    <w:rsid w:val="001C17AB"/>
    <w:rsid w:val="001C5F2C"/>
    <w:rsid w:val="001D0784"/>
    <w:rsid w:val="001E05EF"/>
    <w:rsid w:val="002051E3"/>
    <w:rsid w:val="002117CE"/>
    <w:rsid w:val="0021365B"/>
    <w:rsid w:val="00222D3C"/>
    <w:rsid w:val="00242A9E"/>
    <w:rsid w:val="00261C0F"/>
    <w:rsid w:val="00264133"/>
    <w:rsid w:val="00265858"/>
    <w:rsid w:val="00265B59"/>
    <w:rsid w:val="002774FE"/>
    <w:rsid w:val="00280097"/>
    <w:rsid w:val="00291F03"/>
    <w:rsid w:val="002A2EA9"/>
    <w:rsid w:val="002A5006"/>
    <w:rsid w:val="002A7D9B"/>
    <w:rsid w:val="002C06AC"/>
    <w:rsid w:val="002E6324"/>
    <w:rsid w:val="002F0546"/>
    <w:rsid w:val="002F5C2C"/>
    <w:rsid w:val="00324D96"/>
    <w:rsid w:val="003254C0"/>
    <w:rsid w:val="00333A80"/>
    <w:rsid w:val="003519F4"/>
    <w:rsid w:val="00360280"/>
    <w:rsid w:val="00366647"/>
    <w:rsid w:val="003670F5"/>
    <w:rsid w:val="00370A3F"/>
    <w:rsid w:val="00380B97"/>
    <w:rsid w:val="00386925"/>
    <w:rsid w:val="00391E74"/>
    <w:rsid w:val="00392DAB"/>
    <w:rsid w:val="003B2882"/>
    <w:rsid w:val="003E0EE5"/>
    <w:rsid w:val="00414AB3"/>
    <w:rsid w:val="00422FC2"/>
    <w:rsid w:val="004470F0"/>
    <w:rsid w:val="0046134A"/>
    <w:rsid w:val="00487FCC"/>
    <w:rsid w:val="004963A3"/>
    <w:rsid w:val="004A1EB5"/>
    <w:rsid w:val="004A272A"/>
    <w:rsid w:val="004A6679"/>
    <w:rsid w:val="004B7ADD"/>
    <w:rsid w:val="004D2909"/>
    <w:rsid w:val="004E4BA9"/>
    <w:rsid w:val="004E4E5C"/>
    <w:rsid w:val="004E741E"/>
    <w:rsid w:val="004E7599"/>
    <w:rsid w:val="004F1911"/>
    <w:rsid w:val="004F2583"/>
    <w:rsid w:val="004F2D5B"/>
    <w:rsid w:val="00525AD1"/>
    <w:rsid w:val="00527865"/>
    <w:rsid w:val="005376E7"/>
    <w:rsid w:val="00543263"/>
    <w:rsid w:val="005566A6"/>
    <w:rsid w:val="005578A4"/>
    <w:rsid w:val="005647BF"/>
    <w:rsid w:val="005660D2"/>
    <w:rsid w:val="005667A6"/>
    <w:rsid w:val="00567734"/>
    <w:rsid w:val="00572926"/>
    <w:rsid w:val="0057638C"/>
    <w:rsid w:val="00583D83"/>
    <w:rsid w:val="00597F08"/>
    <w:rsid w:val="005B4C9F"/>
    <w:rsid w:val="005D6360"/>
    <w:rsid w:val="005E0860"/>
    <w:rsid w:val="00600D49"/>
    <w:rsid w:val="00602CEE"/>
    <w:rsid w:val="00651C07"/>
    <w:rsid w:val="0065776D"/>
    <w:rsid w:val="00657FBE"/>
    <w:rsid w:val="00690843"/>
    <w:rsid w:val="006A557E"/>
    <w:rsid w:val="006E29C6"/>
    <w:rsid w:val="006E45C9"/>
    <w:rsid w:val="006E48A8"/>
    <w:rsid w:val="00710551"/>
    <w:rsid w:val="0072474E"/>
    <w:rsid w:val="00727005"/>
    <w:rsid w:val="007279AA"/>
    <w:rsid w:val="007431F4"/>
    <w:rsid w:val="00744BD8"/>
    <w:rsid w:val="00755B07"/>
    <w:rsid w:val="0076277B"/>
    <w:rsid w:val="00762C9B"/>
    <w:rsid w:val="007740DC"/>
    <w:rsid w:val="00777841"/>
    <w:rsid w:val="007862C3"/>
    <w:rsid w:val="00792347"/>
    <w:rsid w:val="007954AE"/>
    <w:rsid w:val="007A3EEB"/>
    <w:rsid w:val="007B24E3"/>
    <w:rsid w:val="007B5D85"/>
    <w:rsid w:val="007D124E"/>
    <w:rsid w:val="007D644E"/>
    <w:rsid w:val="007E4894"/>
    <w:rsid w:val="007E5AD1"/>
    <w:rsid w:val="007F48C8"/>
    <w:rsid w:val="008040ED"/>
    <w:rsid w:val="0080578C"/>
    <w:rsid w:val="00812838"/>
    <w:rsid w:val="0081339E"/>
    <w:rsid w:val="008141FB"/>
    <w:rsid w:val="00814C6A"/>
    <w:rsid w:val="0083088B"/>
    <w:rsid w:val="008334C0"/>
    <w:rsid w:val="00841950"/>
    <w:rsid w:val="00845DDB"/>
    <w:rsid w:val="00850DC8"/>
    <w:rsid w:val="00862C22"/>
    <w:rsid w:val="008B275E"/>
    <w:rsid w:val="008C010A"/>
    <w:rsid w:val="008C0640"/>
    <w:rsid w:val="008C4447"/>
    <w:rsid w:val="008D014D"/>
    <w:rsid w:val="008D14B3"/>
    <w:rsid w:val="008D2AB0"/>
    <w:rsid w:val="008D6EFA"/>
    <w:rsid w:val="008E082C"/>
    <w:rsid w:val="008E0EFE"/>
    <w:rsid w:val="008E7A01"/>
    <w:rsid w:val="008F7378"/>
    <w:rsid w:val="00912ADC"/>
    <w:rsid w:val="00952A41"/>
    <w:rsid w:val="00955AEE"/>
    <w:rsid w:val="00960BC4"/>
    <w:rsid w:val="00981863"/>
    <w:rsid w:val="00983832"/>
    <w:rsid w:val="0098487F"/>
    <w:rsid w:val="009855AE"/>
    <w:rsid w:val="00996CF9"/>
    <w:rsid w:val="009A2505"/>
    <w:rsid w:val="009A7FEE"/>
    <w:rsid w:val="009B55B8"/>
    <w:rsid w:val="009C4697"/>
    <w:rsid w:val="009D21FE"/>
    <w:rsid w:val="009D7DF4"/>
    <w:rsid w:val="00A10A9B"/>
    <w:rsid w:val="00A1217E"/>
    <w:rsid w:val="00A159A6"/>
    <w:rsid w:val="00A41054"/>
    <w:rsid w:val="00A4766E"/>
    <w:rsid w:val="00A53D35"/>
    <w:rsid w:val="00A560A8"/>
    <w:rsid w:val="00A63B18"/>
    <w:rsid w:val="00A772ED"/>
    <w:rsid w:val="00A83EB8"/>
    <w:rsid w:val="00A974D8"/>
    <w:rsid w:val="00AA7F81"/>
    <w:rsid w:val="00AB23DE"/>
    <w:rsid w:val="00AB4C2F"/>
    <w:rsid w:val="00AD10FE"/>
    <w:rsid w:val="00AD2CB3"/>
    <w:rsid w:val="00AD533F"/>
    <w:rsid w:val="00AE3AF2"/>
    <w:rsid w:val="00AF4A7C"/>
    <w:rsid w:val="00B06385"/>
    <w:rsid w:val="00B353A9"/>
    <w:rsid w:val="00B54CEE"/>
    <w:rsid w:val="00B63B38"/>
    <w:rsid w:val="00B63E36"/>
    <w:rsid w:val="00B67B48"/>
    <w:rsid w:val="00B801C3"/>
    <w:rsid w:val="00B87801"/>
    <w:rsid w:val="00BA1B50"/>
    <w:rsid w:val="00BC519D"/>
    <w:rsid w:val="00BC7810"/>
    <w:rsid w:val="00BD1F47"/>
    <w:rsid w:val="00BF7580"/>
    <w:rsid w:val="00C00D83"/>
    <w:rsid w:val="00C05C42"/>
    <w:rsid w:val="00C10570"/>
    <w:rsid w:val="00C238EF"/>
    <w:rsid w:val="00C43B65"/>
    <w:rsid w:val="00C53090"/>
    <w:rsid w:val="00C55EED"/>
    <w:rsid w:val="00C6056E"/>
    <w:rsid w:val="00C7316A"/>
    <w:rsid w:val="00C75FBF"/>
    <w:rsid w:val="00C94A8F"/>
    <w:rsid w:val="00C96555"/>
    <w:rsid w:val="00CA3727"/>
    <w:rsid w:val="00D01DA0"/>
    <w:rsid w:val="00D27FB5"/>
    <w:rsid w:val="00D612C2"/>
    <w:rsid w:val="00D74E53"/>
    <w:rsid w:val="00D807BE"/>
    <w:rsid w:val="00D807D3"/>
    <w:rsid w:val="00D8649D"/>
    <w:rsid w:val="00DA1EAC"/>
    <w:rsid w:val="00DD40A2"/>
    <w:rsid w:val="00DF6C5A"/>
    <w:rsid w:val="00DF6D14"/>
    <w:rsid w:val="00E35478"/>
    <w:rsid w:val="00E419F5"/>
    <w:rsid w:val="00E41ACB"/>
    <w:rsid w:val="00E52EA6"/>
    <w:rsid w:val="00E53EB1"/>
    <w:rsid w:val="00E637DD"/>
    <w:rsid w:val="00E74AB7"/>
    <w:rsid w:val="00E83467"/>
    <w:rsid w:val="00E873F6"/>
    <w:rsid w:val="00E90639"/>
    <w:rsid w:val="00E9343E"/>
    <w:rsid w:val="00EA17FC"/>
    <w:rsid w:val="00EA20B1"/>
    <w:rsid w:val="00EC20BC"/>
    <w:rsid w:val="00ED5EC5"/>
    <w:rsid w:val="00EF79E5"/>
    <w:rsid w:val="00F02959"/>
    <w:rsid w:val="00F13779"/>
    <w:rsid w:val="00F161F7"/>
    <w:rsid w:val="00F21008"/>
    <w:rsid w:val="00F23612"/>
    <w:rsid w:val="00F35DE1"/>
    <w:rsid w:val="00F368E7"/>
    <w:rsid w:val="00F371B3"/>
    <w:rsid w:val="00F371B6"/>
    <w:rsid w:val="00F42115"/>
    <w:rsid w:val="00F53631"/>
    <w:rsid w:val="00F70402"/>
    <w:rsid w:val="00F7486C"/>
    <w:rsid w:val="00F768D3"/>
    <w:rsid w:val="00F82CA1"/>
    <w:rsid w:val="00F863CA"/>
    <w:rsid w:val="00FA3ACC"/>
    <w:rsid w:val="00FA47ED"/>
    <w:rsid w:val="00FF0AFB"/>
    <w:rsid w:val="00FF484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customStyle="1" w:styleId="ARCATArticle">
    <w:name w:val="ARCAT Article"/>
    <w:uiPriority w:val="99"/>
    <w:rsid w:val="00391E74"/>
    <w:pPr>
      <w:widowControl w:val="0"/>
      <w:numPr>
        <w:ilvl w:val="1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391E74"/>
    <w:pPr>
      <w:widowControl w:val="0"/>
      <w:numPr>
        <w:ilvl w:val="2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391E74"/>
    <w:pPr>
      <w:widowControl w:val="0"/>
      <w:numPr>
        <w:ilvl w:val="3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391E74"/>
    <w:pPr>
      <w:widowControl w:val="0"/>
      <w:numPr>
        <w:ilvl w:val="4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391E74"/>
    <w:pPr>
      <w:widowControl w:val="0"/>
      <w:numPr>
        <w:ilvl w:val="5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391E74"/>
    <w:pPr>
      <w:widowControl w:val="0"/>
      <w:numPr>
        <w:ilvl w:val="6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391E74"/>
    <w:pPr>
      <w:widowControl w:val="0"/>
      <w:numPr>
        <w:ilvl w:val="7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391E74"/>
    <w:pPr>
      <w:widowControl w:val="0"/>
      <w:numPr>
        <w:ilvl w:val="8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BC781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lleaseacmeda.com/us/products/fabri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p.howard@RolleaseAcmeda.com" TargetMode="Externa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lleaseacmedacontrac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2f471-8987-4bc7-bd7c-fcb151f959ef" xsi:nil="true"/>
    <lcf76f155ced4ddcb4097134ff3c332f xmlns="4947024e-c7f4-448a-a7ae-6578092e520f">
      <Terms xmlns="http://schemas.microsoft.com/office/infopath/2007/PartnerControls"/>
    </lcf76f155ced4ddcb4097134ff3c332f>
    <SharedWithUsers xmlns="9d02f471-8987-4bc7-bd7c-fcb151f959ef">
      <UserInfo>
        <DisplayName/>
        <AccountId xsi:nil="true"/>
        <AccountType/>
      </UserInfo>
    </SharedWithUsers>
    <MediaLengthInSeconds xmlns="4947024e-c7f4-448a-a7ae-6578092e520f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68C44B38D454A822357E92809081D" ma:contentTypeVersion="16" ma:contentTypeDescription="Create a new document." ma:contentTypeScope="" ma:versionID="ac9f0a0d73063cd7616b4a0decae906f">
  <xsd:schema xmlns:xsd="http://www.w3.org/2001/XMLSchema" xmlns:xs="http://www.w3.org/2001/XMLSchema" xmlns:p="http://schemas.microsoft.com/office/2006/metadata/properties" xmlns:ns2="4947024e-c7f4-448a-a7ae-6578092e520f" xmlns:ns3="9d02f471-8987-4bc7-bd7c-fcb151f959ef" targetNamespace="http://schemas.microsoft.com/office/2006/metadata/properties" ma:root="true" ma:fieldsID="3f90913600f1ac44c460943ad5715cbe" ns2:_="" ns3:_="">
    <xsd:import namespace="4947024e-c7f4-448a-a7ae-6578092e520f"/>
    <xsd:import namespace="9d02f471-8987-4bc7-bd7c-fcb151f9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024e-c7f4-448a-a7ae-6578092e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f3f52-63fc-4ecb-895c-f50464949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2f471-8987-4bc7-bd7c-fcb151f9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0f93f-e478-4a88-a862-cec000dc2dce}" ma:internalName="TaxCatchAll" ma:showField="CatchAllData" ma:web="9d02f471-8987-4bc7-bd7c-fcb151f95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6B3C0-53D7-4C9B-9966-3EEF1DE4393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df1898d-4e1e-4500-8913-95f661c67875"/>
    <ds:schemaRef ds:uri="9851e6a8-fc84-4367-aae9-abfa1dac94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96DD19-0E62-46D5-8C98-8BED78831B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2C05B6-4E58-49F0-B62F-A244482714EC}"/>
</file>

<file path=customXml/itemProps4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Dawson</dc:creator>
  <cp:lastModifiedBy>David Dawson</cp:lastModifiedBy>
  <cp:revision>15</cp:revision>
  <dcterms:created xsi:type="dcterms:W3CDTF">2017-11-09T15:21:00Z</dcterms:created>
  <dcterms:modified xsi:type="dcterms:W3CDTF">2019-05-21T14:25:00Z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0x010100FAE68C44B38D454A822357E92809081D</vt:lpwstr>
  </property>
  <property fmtid="{D5CDD505-2E9C-101B-9397-08002B2CF9AE}" pid="3" name="_dlc_DocIdItemGuid">
    <vt:lpwstr>adff2060-bd25-4e9f-a48a-010549252454</vt:lpwstr>
  </property>
  <property fmtid="{D5CDD505-2E9C-101B-9397-08002B2CF9AE}" pid="4" name="Order">
    <vt:r8>514400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